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CC" w:rsidRPr="002F674B" w:rsidRDefault="00297DCC" w:rsidP="007B427F">
      <w:pPr>
        <w:spacing w:line="360" w:lineRule="auto"/>
        <w:rPr>
          <w:rFonts w:cs="Times New Roman"/>
          <w:b/>
          <w:sz w:val="24"/>
          <w:szCs w:val="24"/>
        </w:rPr>
      </w:pPr>
    </w:p>
    <w:p w:rsidR="00297DCC" w:rsidRPr="002F674B" w:rsidRDefault="00297DCC" w:rsidP="00297DCC">
      <w:pPr>
        <w:pStyle w:val="Heading1"/>
        <w:spacing w:line="360" w:lineRule="auto"/>
      </w:pPr>
      <w:r w:rsidRPr="002F674B">
        <w:t>МЕТОДИКА ЗА ОПРЕДЕЛЯНЕ НА КОМПЛЕКСНАТА ОЦЕНКА НА ОФЕРТАТА</w:t>
      </w:r>
    </w:p>
    <w:p w:rsidR="00297DCC" w:rsidRPr="002F674B" w:rsidRDefault="00297DCC" w:rsidP="00297DCC">
      <w:pPr>
        <w:spacing w:line="360" w:lineRule="auto"/>
        <w:rPr>
          <w:rFonts w:cs="Times New Roman"/>
          <w:sz w:val="24"/>
          <w:szCs w:val="24"/>
        </w:rPr>
      </w:pPr>
    </w:p>
    <w:p w:rsidR="00297DCC" w:rsidRPr="002F674B" w:rsidRDefault="00297DCC" w:rsidP="00297DCC">
      <w:pPr>
        <w:spacing w:line="360" w:lineRule="auto"/>
        <w:ind w:right="23" w:firstLine="454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 xml:space="preserve">Оценяването и класирането на офертите на участниците се основава на икономически най –изгодна оферта, въз основа на критерия посочен в чл. 70, ал. 2, т. 3 от ЗОП – преценка за оптимално съотношение качество/цена, което се оценява въз основа на цената, както и на показатели, включващи качествени аспекти, свързани с предмета на обществената поръчка, както следва: </w:t>
      </w:r>
    </w:p>
    <w:p w:rsidR="00297DCC" w:rsidRDefault="00297DCC" w:rsidP="00297DCC">
      <w:pPr>
        <w:spacing w:line="360" w:lineRule="auto"/>
        <w:ind w:right="23" w:firstLine="454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Настоящата методика съдържа точни указания за определяне на комплексната оценка на всяка оферта, показателите, броят точки за всеки от тях при изчисляване на комплексната оценка, както и точни указания за определяне на оценката по всеки показател.</w:t>
      </w:r>
    </w:p>
    <w:p w:rsidR="00F4147A" w:rsidRPr="002F674B" w:rsidRDefault="00F4147A" w:rsidP="00297DCC">
      <w:pPr>
        <w:spacing w:line="360" w:lineRule="auto"/>
        <w:ind w:right="23" w:firstLine="454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Тъй като предметът на настоящата поръчка налага експертно оценяване, съответствията на предложението на участниците с техническите изисквания на Възложителя, които не могат да се оценяват с математически формули, комисията за разглеждане, оценка и класиране на оферти ще включва лица със съответното образование, доказан опит и качества по предмета на поръчката за присъждане на такива оценки.</w:t>
      </w:r>
    </w:p>
    <w:p w:rsidR="00297DCC" w:rsidRPr="002F674B" w:rsidRDefault="00297DCC" w:rsidP="00297DCC">
      <w:pPr>
        <w:spacing w:line="360" w:lineRule="auto"/>
        <w:ind w:right="23" w:firstLine="454"/>
        <w:rPr>
          <w:rFonts w:cs="Times New Roman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Когато комисията единодушно констатира, че предложението на участника не съответства на минималните заложени в техническото задание/спецификация изисквания на Възложителя, участникът се отстранява от по-нататъшно участие в процедурата. В случай, че участник представи Техническо предложение, което не отговаря на изискванията на Възложителя на действащото законодателство; на съществуващите нормативна база; стандарти или технически изисквания; той също се отстранява от участие и офертата му не се допуска до оценка и класиране.</w:t>
      </w:r>
    </w:p>
    <w:p w:rsidR="00297DCC" w:rsidRPr="002F674B" w:rsidRDefault="00297DCC" w:rsidP="00297DCC">
      <w:pPr>
        <w:spacing w:line="360" w:lineRule="auto"/>
        <w:ind w:right="23" w:firstLine="454"/>
        <w:rPr>
          <w:rFonts w:cs="Times New Roman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Комисията прилага настоящата методика по отношение на офертите на участниците, които не са отстранени от участие в процедурата и които отговарят на обявените от Възложителя изисквания и критерии за подбор.</w:t>
      </w:r>
    </w:p>
    <w:p w:rsidR="00297DCC" w:rsidRPr="002F674B" w:rsidRDefault="00297DCC" w:rsidP="00297DCC">
      <w:pPr>
        <w:spacing w:line="360" w:lineRule="auto"/>
        <w:ind w:right="23" w:firstLine="454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Крайното класиране на допуснатите оферти/предложения се извършва в низходящ ред, на база получена комплексна оценка за всяка оферта. Офертата/предложението, получила/получило най-голям брой точки, се класира на първо място.</w:t>
      </w:r>
    </w:p>
    <w:p w:rsidR="00297DCC" w:rsidRPr="002F674B" w:rsidRDefault="00297DCC" w:rsidP="00297DCC">
      <w:pPr>
        <w:spacing w:line="360" w:lineRule="auto"/>
        <w:ind w:right="23" w:firstLine="454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lastRenderedPageBreak/>
        <w:t>Когато комплексните оценки на две или повече оферти/предложения са равни, с предимство се класира офертата, в която се съдържат по-изгодни предложения, преценени в следния ред:</w:t>
      </w:r>
    </w:p>
    <w:p w:rsidR="00297DCC" w:rsidRPr="002F674B" w:rsidRDefault="00297DCC" w:rsidP="00297DCC">
      <w:pPr>
        <w:pStyle w:val="ListParagraph"/>
        <w:numPr>
          <w:ilvl w:val="0"/>
          <w:numId w:val="3"/>
        </w:numPr>
        <w:spacing w:line="360" w:lineRule="auto"/>
        <w:ind w:left="851" w:right="23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по-ниска предложена цена;</w:t>
      </w:r>
    </w:p>
    <w:p w:rsidR="00297DCC" w:rsidRPr="002F674B" w:rsidRDefault="00297DCC" w:rsidP="00297DCC">
      <w:pPr>
        <w:pStyle w:val="ListParagraph"/>
        <w:numPr>
          <w:ilvl w:val="0"/>
          <w:numId w:val="3"/>
        </w:numPr>
        <w:spacing w:line="360" w:lineRule="auto"/>
        <w:ind w:left="851" w:right="23"/>
        <w:rPr>
          <w:rFonts w:eastAsia="Calibri" w:cs="Times New Roman"/>
          <w:sz w:val="24"/>
          <w:szCs w:val="24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по-изгодно предложение по останалите показатели, сравнени в низходящ ред съобразно тяхната тежест (определена въз основа на максималния брой точки, който може да бъде получен за съответния показател</w:t>
      </w:r>
      <w:r w:rsidRPr="002F674B">
        <w:rPr>
          <w:rFonts w:eastAsia="Calibri" w:cs="Times New Roman"/>
          <w:sz w:val="24"/>
          <w:szCs w:val="24"/>
        </w:rPr>
        <w:t>).</w:t>
      </w:r>
    </w:p>
    <w:p w:rsidR="00297DCC" w:rsidRPr="002F674B" w:rsidRDefault="00297DCC" w:rsidP="00297DCC">
      <w:pPr>
        <w:spacing w:line="360" w:lineRule="auto"/>
        <w:ind w:right="23" w:firstLine="454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Комисията провежда публично жребий за определяне на изпълнител между класираните на първо място оферти, ако участниците не могат да бъдат класирани в съответствие с горните изисквания.</w:t>
      </w:r>
    </w:p>
    <w:p w:rsidR="00297DCC" w:rsidRPr="002F674B" w:rsidRDefault="00297DCC" w:rsidP="00297DCC">
      <w:pPr>
        <w:spacing w:after="200" w:line="276" w:lineRule="auto"/>
        <w:ind w:right="23" w:firstLine="720"/>
        <w:rPr>
          <w:rFonts w:eastAsia="Calibri" w:cs="Times New Roman"/>
          <w:sz w:val="24"/>
          <w:szCs w:val="24"/>
        </w:rPr>
      </w:pPr>
    </w:p>
    <w:tbl>
      <w:tblPr>
        <w:tblStyle w:val="TableGrid6"/>
        <w:tblW w:w="9464" w:type="dxa"/>
        <w:tblLook w:val="04A0"/>
      </w:tblPr>
      <w:tblGrid>
        <w:gridCol w:w="4361"/>
        <w:gridCol w:w="2297"/>
        <w:gridCol w:w="2806"/>
      </w:tblGrid>
      <w:tr w:rsidR="00297DCC" w:rsidRPr="002F674B" w:rsidTr="00957E88">
        <w:tc>
          <w:tcPr>
            <w:tcW w:w="4361" w:type="dxa"/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2F674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Показател</w:t>
            </w:r>
            <w:proofErr w:type="spellEnd"/>
            <w:r w:rsidRPr="002F674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 xml:space="preserve"> – П</w:t>
            </w:r>
          </w:p>
          <w:p w:rsidR="00297DCC" w:rsidRPr="002F674B" w:rsidRDefault="00297DCC" w:rsidP="00957E88">
            <w:pPr>
              <w:spacing w:line="36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F674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(</w:t>
            </w:r>
            <w:proofErr w:type="spellStart"/>
            <w:r w:rsidRPr="002F674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2F674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297" w:type="dxa"/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2F674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Максимален</w:t>
            </w:r>
            <w:proofErr w:type="spellEnd"/>
            <w:r w:rsidRPr="002F674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F674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брой</w:t>
            </w:r>
            <w:proofErr w:type="spellEnd"/>
            <w:r w:rsidRPr="002F674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F674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точки</w:t>
            </w:r>
            <w:proofErr w:type="spellEnd"/>
          </w:p>
        </w:tc>
        <w:tc>
          <w:tcPr>
            <w:tcW w:w="2806" w:type="dxa"/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2F674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Тежест</w:t>
            </w:r>
            <w:proofErr w:type="spellEnd"/>
          </w:p>
        </w:tc>
      </w:tr>
      <w:tr w:rsidR="00297DCC" w:rsidRPr="002F674B" w:rsidTr="00957E88">
        <w:tc>
          <w:tcPr>
            <w:tcW w:w="4361" w:type="dxa"/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</w:pPr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 xml:space="preserve">1. </w:t>
            </w:r>
            <w:proofErr w:type="spellStart"/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>Ценово</w:t>
            </w:r>
            <w:proofErr w:type="spellEnd"/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>предложение</w:t>
            </w:r>
            <w:proofErr w:type="spellEnd"/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 xml:space="preserve"> – ЦП</w:t>
            </w:r>
          </w:p>
        </w:tc>
        <w:tc>
          <w:tcPr>
            <w:tcW w:w="2297" w:type="dxa"/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</w:pPr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806" w:type="dxa"/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>30</w:t>
            </w:r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>%</w:t>
            </w:r>
          </w:p>
        </w:tc>
      </w:tr>
      <w:tr w:rsidR="00297DCC" w:rsidRPr="002F674B" w:rsidTr="00957E88">
        <w:tc>
          <w:tcPr>
            <w:tcW w:w="4361" w:type="dxa"/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</w:pPr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 xml:space="preserve">2. </w:t>
            </w:r>
            <w:proofErr w:type="spellStart"/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>Техническо</w:t>
            </w:r>
            <w:proofErr w:type="spellEnd"/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>предложение</w:t>
            </w:r>
            <w:proofErr w:type="spellEnd"/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 xml:space="preserve"> – ТП</w:t>
            </w:r>
          </w:p>
        </w:tc>
        <w:tc>
          <w:tcPr>
            <w:tcW w:w="2297" w:type="dxa"/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</w:pPr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806" w:type="dxa"/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>70</w:t>
            </w:r>
            <w:r w:rsidRPr="002F674B">
              <w:rPr>
                <w:rFonts w:eastAsia="Times New Roman" w:cs="Times New Roman"/>
                <w:bCs/>
                <w:sz w:val="24"/>
                <w:szCs w:val="24"/>
                <w:lang w:eastAsia="bg-BG"/>
              </w:rPr>
              <w:t>%</w:t>
            </w:r>
          </w:p>
        </w:tc>
      </w:tr>
    </w:tbl>
    <w:p w:rsidR="00297DCC" w:rsidRPr="002F674B" w:rsidRDefault="00297DCC" w:rsidP="00297DCC">
      <w:pPr>
        <w:spacing w:line="360" w:lineRule="auto"/>
        <w:jc w:val="left"/>
        <w:rPr>
          <w:rFonts w:eastAsia="Calibri" w:cs="Times New Roman"/>
          <w:sz w:val="24"/>
          <w:szCs w:val="24"/>
        </w:rPr>
      </w:pPr>
    </w:p>
    <w:p w:rsidR="00297DCC" w:rsidRPr="002F674B" w:rsidRDefault="00297DCC" w:rsidP="00297DCC">
      <w:pPr>
        <w:pStyle w:val="Heading2"/>
        <w:numPr>
          <w:ilvl w:val="0"/>
          <w:numId w:val="1"/>
        </w:numPr>
        <w:spacing w:before="0" w:line="360" w:lineRule="auto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 xml:space="preserve">Ценово </w:t>
      </w:r>
      <w:r w:rsidRPr="002F674B">
        <w:rPr>
          <w:rFonts w:cs="Times New Roman"/>
          <w:sz w:val="24"/>
          <w:szCs w:val="24"/>
        </w:rPr>
        <w:t>предложение</w:t>
      </w:r>
      <w:r w:rsidRPr="002F674B">
        <w:rPr>
          <w:rFonts w:eastAsia="Times New Roman" w:cs="Times New Roman"/>
          <w:sz w:val="24"/>
          <w:szCs w:val="24"/>
          <w:lang w:eastAsia="bg-BG"/>
        </w:rPr>
        <w:t xml:space="preserve"> – ЦП</w:t>
      </w:r>
    </w:p>
    <w:p w:rsidR="00297DCC" w:rsidRPr="002F674B" w:rsidRDefault="00297DCC" w:rsidP="00297DCC">
      <w:pPr>
        <w:spacing w:line="360" w:lineRule="auto"/>
        <w:rPr>
          <w:rFonts w:eastAsia="Times New Roman" w:cs="Times New Roman"/>
          <w:bCs/>
          <w:sz w:val="24"/>
          <w:szCs w:val="24"/>
          <w:lang w:eastAsia="bg-BG"/>
        </w:rPr>
      </w:pPr>
      <w:r w:rsidRPr="002F674B">
        <w:rPr>
          <w:rFonts w:eastAsia="Times New Roman" w:cs="Times New Roman"/>
          <w:bCs/>
          <w:sz w:val="24"/>
          <w:szCs w:val="24"/>
          <w:lang w:eastAsia="bg-BG"/>
        </w:rPr>
        <w:t>Максимален брой точки по показателя - 100 точки. Относителна тежест на показателя в комплексната оценка 30%.</w:t>
      </w:r>
    </w:p>
    <w:p w:rsidR="00297DCC" w:rsidRPr="002F674B" w:rsidRDefault="00297DCC" w:rsidP="00297DCC">
      <w:pPr>
        <w:spacing w:line="360" w:lineRule="auto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 xml:space="preserve">ЦП = 100 </w:t>
      </w:r>
      <w:r w:rsidRPr="002F674B">
        <w:rPr>
          <w:rFonts w:cs="Times New Roman"/>
        </w:rPr>
        <w:t>×</w:t>
      </w:r>
      <w:r w:rsidRPr="002F674B">
        <w:rPr>
          <w:rFonts w:eastAsia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2F674B">
        <w:rPr>
          <w:rFonts w:eastAsia="Times New Roman" w:cs="Times New Roman"/>
          <w:sz w:val="24"/>
          <w:szCs w:val="24"/>
          <w:lang w:eastAsia="bg-BG"/>
        </w:rPr>
        <w:t>Цмин</w:t>
      </w:r>
      <w:proofErr w:type="spellEnd"/>
      <w:r w:rsidRPr="002F674B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t xml:space="preserve">÷ </w:t>
      </w:r>
      <w:r w:rsidRPr="002F674B">
        <w:rPr>
          <w:rFonts w:eastAsia="Times New Roman" w:cs="Times New Roman"/>
          <w:sz w:val="24"/>
          <w:szCs w:val="24"/>
          <w:lang w:eastAsia="bg-BG"/>
        </w:rPr>
        <w:t>Ц), където</w:t>
      </w:r>
    </w:p>
    <w:p w:rsidR="00297DCC" w:rsidRPr="002F674B" w:rsidRDefault="00297DCC" w:rsidP="00297DCC">
      <w:pPr>
        <w:spacing w:line="360" w:lineRule="auto"/>
        <w:rPr>
          <w:rFonts w:eastAsia="Times New Roman" w:cs="Times New Roman"/>
          <w:sz w:val="24"/>
          <w:szCs w:val="24"/>
          <w:lang w:eastAsia="bg-BG"/>
        </w:rPr>
      </w:pPr>
      <w:proofErr w:type="spellStart"/>
      <w:r w:rsidRPr="002F674B">
        <w:rPr>
          <w:rFonts w:eastAsia="Times New Roman" w:cs="Times New Roman"/>
          <w:sz w:val="24"/>
          <w:szCs w:val="24"/>
          <w:lang w:eastAsia="bg-BG"/>
        </w:rPr>
        <w:t>Цмин</w:t>
      </w:r>
      <w:proofErr w:type="spellEnd"/>
      <w:r w:rsidRPr="002F674B">
        <w:rPr>
          <w:rFonts w:eastAsia="Times New Roman" w:cs="Times New Roman"/>
          <w:sz w:val="24"/>
          <w:szCs w:val="24"/>
          <w:lang w:eastAsia="bg-BG"/>
        </w:rPr>
        <w:t xml:space="preserve"> е най-ниската предложена цена;</w:t>
      </w:r>
    </w:p>
    <w:p w:rsidR="00297DCC" w:rsidRPr="002F674B" w:rsidRDefault="00297DCC" w:rsidP="00297DCC">
      <w:pPr>
        <w:spacing w:line="360" w:lineRule="auto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Ц е цената предложена от участника;</w:t>
      </w:r>
    </w:p>
    <w:p w:rsidR="00297DCC" w:rsidRPr="002F674B" w:rsidRDefault="00297DCC" w:rsidP="00297DCC">
      <w:pPr>
        <w:spacing w:line="360" w:lineRule="auto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ЦП се закръглява до втория знак след десетичната запетая.</w:t>
      </w:r>
    </w:p>
    <w:p w:rsidR="00297DCC" w:rsidRPr="002F674B" w:rsidRDefault="00297DCC" w:rsidP="00297DCC">
      <w:pPr>
        <w:spacing w:line="360" w:lineRule="auto"/>
        <w:rPr>
          <w:rFonts w:eastAsia="Times New Roman" w:cs="Times New Roman"/>
          <w:bCs/>
          <w:sz w:val="24"/>
          <w:szCs w:val="24"/>
          <w:lang w:eastAsia="bg-BG"/>
        </w:rPr>
      </w:pPr>
    </w:p>
    <w:p w:rsidR="00297DCC" w:rsidRPr="002F674B" w:rsidRDefault="00297DCC" w:rsidP="00297DCC">
      <w:pPr>
        <w:pStyle w:val="Heading2"/>
        <w:numPr>
          <w:ilvl w:val="0"/>
          <w:numId w:val="1"/>
        </w:numPr>
        <w:spacing w:before="0" w:line="360" w:lineRule="auto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Техническо предложение - ТП</w:t>
      </w:r>
    </w:p>
    <w:p w:rsidR="00297DCC" w:rsidRPr="002F674B" w:rsidRDefault="00297DCC" w:rsidP="00297DCC">
      <w:pPr>
        <w:tabs>
          <w:tab w:val="left" w:pos="725"/>
        </w:tabs>
        <w:spacing w:line="360" w:lineRule="auto"/>
        <w:jc w:val="left"/>
        <w:rPr>
          <w:rFonts w:eastAsia="Times New Roman" w:cs="Times New Roman"/>
          <w:bCs/>
          <w:sz w:val="24"/>
          <w:szCs w:val="24"/>
          <w:lang w:eastAsia="bg-BG"/>
        </w:rPr>
      </w:pPr>
      <w:r w:rsidRPr="002F674B">
        <w:rPr>
          <w:rFonts w:eastAsia="Times New Roman" w:cs="Times New Roman"/>
          <w:bCs/>
          <w:sz w:val="24"/>
          <w:szCs w:val="24"/>
          <w:lang w:eastAsia="bg-BG"/>
        </w:rPr>
        <w:t xml:space="preserve">Максимален брой точки по показателя - 100 точки. Относителна тежест на показателя в комплексната оценка 70%. </w:t>
      </w:r>
    </w:p>
    <w:p w:rsidR="00297DCC" w:rsidRPr="002F674B" w:rsidRDefault="00297DCC" w:rsidP="00297DCC">
      <w:pPr>
        <w:tabs>
          <w:tab w:val="left" w:pos="0"/>
        </w:tabs>
        <w:spacing w:line="360" w:lineRule="auto"/>
        <w:rPr>
          <w:rFonts w:cs="Times New Roman"/>
          <w:sz w:val="24"/>
          <w:szCs w:val="24"/>
          <w:lang w:eastAsia="bg-BG"/>
        </w:rPr>
      </w:pPr>
      <w:r w:rsidRPr="002F674B">
        <w:rPr>
          <w:rFonts w:cs="Times New Roman"/>
          <w:sz w:val="24"/>
          <w:szCs w:val="24"/>
          <w:lang w:eastAsia="bg-BG"/>
        </w:rPr>
        <w:t xml:space="preserve">Комисията оценява участника по всеки от посочените в таблицата по-долу </w:t>
      </w:r>
      <w:proofErr w:type="spellStart"/>
      <w:r w:rsidRPr="002F674B">
        <w:rPr>
          <w:rFonts w:cs="Times New Roman"/>
          <w:sz w:val="24"/>
          <w:szCs w:val="24"/>
          <w:lang w:eastAsia="bg-BG"/>
        </w:rPr>
        <w:t>подпоказатели</w:t>
      </w:r>
      <w:proofErr w:type="spellEnd"/>
      <w:r w:rsidRPr="002F674B">
        <w:rPr>
          <w:rFonts w:cs="Times New Roman"/>
          <w:sz w:val="24"/>
          <w:szCs w:val="24"/>
          <w:lang w:eastAsia="bg-BG"/>
        </w:rPr>
        <w:t xml:space="preserve"> в зависимост от Техническото предложение на участника. </w:t>
      </w:r>
    </w:p>
    <w:p w:rsidR="00297DCC" w:rsidRPr="002F674B" w:rsidRDefault="00297DCC" w:rsidP="00297DCC">
      <w:pPr>
        <w:tabs>
          <w:tab w:val="left" w:pos="0"/>
        </w:tabs>
        <w:spacing w:line="360" w:lineRule="auto"/>
        <w:rPr>
          <w:rFonts w:cs="Times New Roman"/>
          <w:sz w:val="24"/>
          <w:szCs w:val="24"/>
          <w:lang w:eastAsia="bg-BG"/>
        </w:rPr>
      </w:pPr>
      <w:r w:rsidRPr="002F674B">
        <w:rPr>
          <w:rFonts w:cs="Times New Roman"/>
          <w:sz w:val="24"/>
          <w:szCs w:val="24"/>
          <w:lang w:eastAsia="bg-BG"/>
        </w:rPr>
        <w:t>Броят точки по всеки показател се получава като оценката по съответната скала за показателя, посочени в таблицата по-долу.</w:t>
      </w:r>
    </w:p>
    <w:p w:rsidR="00297DCC" w:rsidRPr="002F674B" w:rsidRDefault="00297DCC" w:rsidP="00297DCC">
      <w:pPr>
        <w:spacing w:line="360" w:lineRule="auto"/>
        <w:ind w:right="-2"/>
        <w:rPr>
          <w:rFonts w:cs="Times New Roman"/>
        </w:rPr>
      </w:pPr>
      <w:r w:rsidRPr="002F674B">
        <w:rPr>
          <w:rFonts w:cs="Times New Roman"/>
          <w:sz w:val="24"/>
          <w:szCs w:val="24"/>
        </w:rPr>
        <w:lastRenderedPageBreak/>
        <w:t>Оценката на комисията на техническото предложение на участника се определя по формулата:</w:t>
      </w:r>
    </w:p>
    <w:p w:rsidR="00297DCC" w:rsidRPr="002F674B" w:rsidRDefault="00297DCC" w:rsidP="00297DCC">
      <w:pPr>
        <w:keepNext/>
        <w:shd w:val="clear" w:color="auto" w:fill="FFFFFF"/>
        <w:spacing w:line="360" w:lineRule="auto"/>
        <w:ind w:left="1276"/>
        <w:rPr>
          <w:rFonts w:cs="Times New Roman"/>
          <w:color w:val="000000"/>
          <w:spacing w:val="9"/>
          <w:sz w:val="24"/>
          <w:szCs w:val="24"/>
          <w:lang w:val="ru-RU"/>
        </w:rPr>
      </w:pPr>
      <w:r w:rsidRPr="002F674B">
        <w:rPr>
          <w:rFonts w:cs="Times New Roman"/>
          <w:color w:val="000000"/>
          <w:spacing w:val="9"/>
          <w:sz w:val="24"/>
          <w:szCs w:val="24"/>
        </w:rPr>
        <w:t xml:space="preserve">   n</w:t>
      </w:r>
    </w:p>
    <w:p w:rsidR="00297DCC" w:rsidRPr="002F674B" w:rsidRDefault="00297DCC" w:rsidP="00297DCC">
      <w:pPr>
        <w:keepNext/>
        <w:shd w:val="clear" w:color="auto" w:fill="FFFFFF"/>
        <w:spacing w:line="360" w:lineRule="auto"/>
        <w:ind w:left="720"/>
        <w:rPr>
          <w:rFonts w:cs="Times New Roman"/>
          <w:color w:val="000000"/>
          <w:spacing w:val="9"/>
          <w:sz w:val="24"/>
          <w:szCs w:val="24"/>
          <w:lang w:val="ru-RU"/>
        </w:rPr>
      </w:pPr>
      <w:r w:rsidRPr="002F674B">
        <w:rPr>
          <w:rFonts w:cs="Times New Roman"/>
          <w:b/>
          <w:sz w:val="24"/>
          <w:szCs w:val="24"/>
          <w:lang w:val="en-US"/>
        </w:rPr>
        <w:t>T</w:t>
      </w:r>
      <w:r w:rsidRPr="002F674B">
        <w:rPr>
          <w:rFonts w:cs="Times New Roman"/>
          <w:b/>
          <w:sz w:val="24"/>
          <w:szCs w:val="24"/>
        </w:rPr>
        <w:t>П</w:t>
      </w:r>
      <w:r w:rsidRPr="002F674B">
        <w:rPr>
          <w:rFonts w:cs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2F674B">
        <w:rPr>
          <w:rFonts w:cs="Times New Roman"/>
          <w:color w:val="000000"/>
          <w:spacing w:val="9"/>
          <w:sz w:val="24"/>
          <w:szCs w:val="24"/>
        </w:rPr>
        <w:t>=  Σ</w:t>
      </w:r>
      <w:proofErr w:type="gramEnd"/>
      <w:r w:rsidRPr="002F674B">
        <w:rPr>
          <w:rFonts w:cs="Times New Roman"/>
          <w:color w:val="000000"/>
          <w:spacing w:val="9"/>
          <w:sz w:val="24"/>
          <w:szCs w:val="24"/>
        </w:rPr>
        <w:t xml:space="preserve"> </w:t>
      </w:r>
      <w:r w:rsidRPr="002F674B">
        <w:rPr>
          <w:rFonts w:cs="Times New Roman"/>
          <w:b/>
          <w:color w:val="000000"/>
          <w:spacing w:val="9"/>
          <w:sz w:val="24"/>
          <w:szCs w:val="24"/>
        </w:rPr>
        <w:t>П</w:t>
      </w:r>
      <w:proofErr w:type="spellStart"/>
      <w:r w:rsidRPr="002F674B">
        <w:rPr>
          <w:rFonts w:cs="Times New Roman"/>
          <w:b/>
          <w:color w:val="000000"/>
          <w:spacing w:val="9"/>
          <w:sz w:val="24"/>
          <w:szCs w:val="24"/>
          <w:vertAlign w:val="subscript"/>
          <w:lang w:val="en-US"/>
        </w:rPr>
        <w:t>i</w:t>
      </w:r>
      <w:proofErr w:type="spellEnd"/>
      <w:r w:rsidRPr="002F674B">
        <w:rPr>
          <w:rFonts w:cs="Times New Roman"/>
          <w:b/>
          <w:color w:val="000000"/>
          <w:spacing w:val="11"/>
          <w:sz w:val="24"/>
          <w:szCs w:val="24"/>
          <w:vertAlign w:val="subscript"/>
        </w:rPr>
        <w:t xml:space="preserve"> </w:t>
      </w:r>
      <w:r w:rsidRPr="002F674B">
        <w:rPr>
          <w:rFonts w:cs="Times New Roman"/>
          <w:color w:val="000000"/>
          <w:spacing w:val="9"/>
          <w:sz w:val="24"/>
          <w:szCs w:val="24"/>
        </w:rPr>
        <w:t xml:space="preserve">, </w:t>
      </w:r>
      <w:r w:rsidRPr="002F674B">
        <w:rPr>
          <w:rFonts w:cs="Times New Roman"/>
          <w:i/>
          <w:color w:val="000000"/>
          <w:spacing w:val="9"/>
          <w:sz w:val="24"/>
          <w:szCs w:val="24"/>
        </w:rPr>
        <w:t>където:</w:t>
      </w:r>
    </w:p>
    <w:p w:rsidR="00297DCC" w:rsidRPr="002F674B" w:rsidRDefault="00297DCC" w:rsidP="00297DCC">
      <w:pPr>
        <w:shd w:val="clear" w:color="auto" w:fill="FFFFFF"/>
        <w:spacing w:line="360" w:lineRule="auto"/>
        <w:rPr>
          <w:rFonts w:cs="Times New Roman"/>
          <w:color w:val="000000"/>
          <w:spacing w:val="9"/>
          <w:sz w:val="24"/>
          <w:szCs w:val="24"/>
        </w:rPr>
      </w:pPr>
      <w:r w:rsidRPr="002F674B">
        <w:rPr>
          <w:rFonts w:cs="Times New Roman"/>
          <w:color w:val="000000"/>
          <w:spacing w:val="9"/>
          <w:sz w:val="24"/>
          <w:szCs w:val="24"/>
        </w:rPr>
        <w:t xml:space="preserve">                    i=1</w:t>
      </w:r>
    </w:p>
    <w:p w:rsidR="00297DCC" w:rsidRPr="002F674B" w:rsidRDefault="00297DCC" w:rsidP="00297DCC">
      <w:pPr>
        <w:shd w:val="clear" w:color="auto" w:fill="FFFFFF"/>
        <w:spacing w:line="360" w:lineRule="auto"/>
        <w:ind w:left="1620" w:hanging="900"/>
        <w:rPr>
          <w:rFonts w:cs="Times New Roman"/>
          <w:b/>
          <w:i/>
          <w:color w:val="000000"/>
          <w:sz w:val="24"/>
          <w:szCs w:val="24"/>
        </w:rPr>
      </w:pPr>
      <w:proofErr w:type="spellStart"/>
      <w:r w:rsidRPr="002F674B">
        <w:rPr>
          <w:rFonts w:cs="Times New Roman"/>
          <w:b/>
          <w:color w:val="000000"/>
          <w:spacing w:val="11"/>
          <w:sz w:val="24"/>
          <w:szCs w:val="24"/>
        </w:rPr>
        <w:t>П</w:t>
      </w:r>
      <w:r w:rsidRPr="002F674B">
        <w:rPr>
          <w:rFonts w:cs="Times New Roman"/>
          <w:b/>
          <w:color w:val="000000"/>
          <w:spacing w:val="11"/>
          <w:sz w:val="24"/>
          <w:szCs w:val="24"/>
          <w:vertAlign w:val="subscript"/>
        </w:rPr>
        <w:t>i</w:t>
      </w:r>
      <w:proofErr w:type="spellEnd"/>
      <w:r w:rsidRPr="002F674B">
        <w:rPr>
          <w:rFonts w:cs="Times New Roman"/>
          <w:color w:val="000000"/>
          <w:spacing w:val="11"/>
          <w:sz w:val="24"/>
          <w:szCs w:val="24"/>
        </w:rPr>
        <w:t xml:space="preserve"> –</w:t>
      </w:r>
      <w:r w:rsidRPr="002F674B">
        <w:rPr>
          <w:rFonts w:cs="Times New Roman"/>
          <w:color w:val="000000"/>
          <w:spacing w:val="11"/>
          <w:sz w:val="24"/>
          <w:szCs w:val="24"/>
          <w:vertAlign w:val="subscript"/>
        </w:rPr>
        <w:t xml:space="preserve"> </w:t>
      </w:r>
      <w:r w:rsidRPr="002F674B">
        <w:rPr>
          <w:rFonts w:cs="Times New Roman"/>
          <w:color w:val="000000"/>
          <w:sz w:val="24"/>
          <w:szCs w:val="24"/>
        </w:rPr>
        <w:t xml:space="preserve">Оценката на комисията на i-тия </w:t>
      </w:r>
      <w:proofErr w:type="spellStart"/>
      <w:r w:rsidRPr="002F674B">
        <w:rPr>
          <w:rFonts w:cs="Times New Roman"/>
          <w:color w:val="000000"/>
          <w:sz w:val="24"/>
          <w:szCs w:val="24"/>
        </w:rPr>
        <w:t>подпоказател</w:t>
      </w:r>
      <w:proofErr w:type="spellEnd"/>
      <w:r w:rsidRPr="002F674B">
        <w:rPr>
          <w:rFonts w:cs="Times New Roman"/>
          <w:color w:val="000000"/>
          <w:sz w:val="24"/>
          <w:szCs w:val="24"/>
        </w:rPr>
        <w:t xml:space="preserve"> (в точки);</w:t>
      </w:r>
    </w:p>
    <w:p w:rsidR="00297DCC" w:rsidRPr="002F674B" w:rsidRDefault="00297DCC" w:rsidP="00297DCC">
      <w:pPr>
        <w:shd w:val="clear" w:color="auto" w:fill="FFFFFF"/>
        <w:spacing w:line="360" w:lineRule="auto"/>
        <w:ind w:left="1620" w:hanging="900"/>
        <w:rPr>
          <w:rFonts w:cs="Times New Roman"/>
          <w:color w:val="000000"/>
          <w:sz w:val="24"/>
          <w:szCs w:val="24"/>
        </w:rPr>
      </w:pPr>
      <w:r w:rsidRPr="002F674B">
        <w:rPr>
          <w:rFonts w:cs="Times New Roman"/>
          <w:b/>
          <w:color w:val="000000"/>
          <w:sz w:val="24"/>
          <w:szCs w:val="24"/>
        </w:rPr>
        <w:t>ТП</w:t>
      </w:r>
      <w:r w:rsidRPr="002F674B">
        <w:rPr>
          <w:rFonts w:cs="Times New Roman"/>
          <w:color w:val="000000"/>
          <w:sz w:val="24"/>
          <w:szCs w:val="24"/>
        </w:rPr>
        <w:t xml:space="preserve"> – Техническа оценка на участника (в точки);</w:t>
      </w:r>
    </w:p>
    <w:p w:rsidR="00297DCC" w:rsidRPr="002F674B" w:rsidRDefault="00297DCC" w:rsidP="00297DCC">
      <w:pPr>
        <w:shd w:val="clear" w:color="auto" w:fill="FFFFFF"/>
        <w:spacing w:line="360" w:lineRule="auto"/>
        <w:ind w:left="1620" w:hanging="900"/>
        <w:rPr>
          <w:rFonts w:cs="Times New Roman"/>
          <w:sz w:val="24"/>
          <w:szCs w:val="24"/>
          <w:lang w:val="en-US"/>
        </w:rPr>
      </w:pPr>
      <w:r w:rsidRPr="002F674B">
        <w:rPr>
          <w:rFonts w:cs="Times New Roman"/>
          <w:b/>
          <w:sz w:val="24"/>
          <w:szCs w:val="24"/>
        </w:rPr>
        <w:t>n</w:t>
      </w:r>
      <w:r w:rsidRPr="002F674B">
        <w:rPr>
          <w:rFonts w:cs="Times New Roman"/>
          <w:sz w:val="24"/>
          <w:szCs w:val="24"/>
        </w:rPr>
        <w:t xml:space="preserve"> – общ брой на </w:t>
      </w:r>
      <w:proofErr w:type="spellStart"/>
      <w:r w:rsidRPr="002F674B">
        <w:rPr>
          <w:rFonts w:cs="Times New Roman"/>
          <w:sz w:val="24"/>
          <w:szCs w:val="24"/>
        </w:rPr>
        <w:t>подпоказателите</w:t>
      </w:r>
      <w:proofErr w:type="spellEnd"/>
      <w:r w:rsidRPr="002F674B">
        <w:rPr>
          <w:rFonts w:cs="Times New Roman"/>
          <w:sz w:val="24"/>
          <w:szCs w:val="24"/>
          <w:lang w:val="en-US"/>
        </w:rPr>
        <w:t>,</w:t>
      </w:r>
    </w:p>
    <w:p w:rsidR="00297DCC" w:rsidRPr="002F674B" w:rsidRDefault="00297DCC" w:rsidP="00297DCC">
      <w:pPr>
        <w:tabs>
          <w:tab w:val="left" w:pos="0"/>
        </w:tabs>
        <w:spacing w:line="360" w:lineRule="auto"/>
        <w:rPr>
          <w:rFonts w:cs="Times New Roman"/>
          <w:sz w:val="24"/>
          <w:szCs w:val="24"/>
          <w:lang w:eastAsia="bg-BG"/>
        </w:rPr>
      </w:pPr>
      <w:r w:rsidRPr="002F674B">
        <w:rPr>
          <w:rFonts w:cs="Times New Roman"/>
          <w:sz w:val="24"/>
          <w:szCs w:val="24"/>
          <w:lang w:eastAsia="bg-BG"/>
        </w:rPr>
        <w:t>където</w:t>
      </w:r>
    </w:p>
    <w:p w:rsidR="00297DCC" w:rsidRPr="002F674B" w:rsidRDefault="00297DCC" w:rsidP="00297DCC">
      <w:pPr>
        <w:tabs>
          <w:tab w:val="left" w:pos="0"/>
        </w:tabs>
        <w:spacing w:line="360" w:lineRule="auto"/>
        <w:rPr>
          <w:rFonts w:cs="Times New Roman"/>
          <w:sz w:val="24"/>
          <w:szCs w:val="24"/>
          <w:lang w:eastAsia="bg-BG"/>
        </w:rPr>
      </w:pPr>
      <w:r w:rsidRPr="002F674B">
        <w:rPr>
          <w:rFonts w:cs="Times New Roman"/>
          <w:sz w:val="24"/>
          <w:szCs w:val="24"/>
          <w:lang w:eastAsia="bg-BG"/>
        </w:rPr>
        <w:tab/>
      </w:r>
      <w:r w:rsidRPr="002F674B">
        <w:rPr>
          <w:rFonts w:cs="Times New Roman"/>
          <w:b/>
          <w:sz w:val="24"/>
          <w:szCs w:val="24"/>
          <w:lang w:eastAsia="bg-BG"/>
        </w:rPr>
        <w:t>П1</w:t>
      </w:r>
      <w:r w:rsidRPr="002F674B">
        <w:rPr>
          <w:rFonts w:cs="Times New Roman"/>
          <w:sz w:val="24"/>
          <w:szCs w:val="24"/>
          <w:lang w:eastAsia="bg-BG"/>
        </w:rPr>
        <w:t xml:space="preserve"> – Подход за реализация на Интернет портала на МВнР – до 20 т.</w:t>
      </w:r>
    </w:p>
    <w:p w:rsidR="00297DCC" w:rsidRPr="002F674B" w:rsidRDefault="00297DCC" w:rsidP="00297DCC">
      <w:pPr>
        <w:tabs>
          <w:tab w:val="left" w:pos="0"/>
        </w:tabs>
        <w:spacing w:line="360" w:lineRule="auto"/>
        <w:rPr>
          <w:rFonts w:cs="Times New Roman"/>
          <w:sz w:val="24"/>
          <w:szCs w:val="24"/>
          <w:lang w:eastAsia="bg-BG"/>
        </w:rPr>
      </w:pPr>
      <w:r w:rsidRPr="002F674B">
        <w:rPr>
          <w:rFonts w:cs="Times New Roman"/>
          <w:sz w:val="24"/>
          <w:szCs w:val="24"/>
          <w:lang w:eastAsia="bg-BG"/>
        </w:rPr>
        <w:tab/>
      </w:r>
      <w:r w:rsidRPr="002F674B">
        <w:rPr>
          <w:rFonts w:cs="Times New Roman"/>
          <w:b/>
          <w:sz w:val="24"/>
          <w:szCs w:val="24"/>
          <w:lang w:eastAsia="bg-BG"/>
        </w:rPr>
        <w:t>П2</w:t>
      </w:r>
      <w:r w:rsidRPr="002F674B">
        <w:rPr>
          <w:rFonts w:cs="Times New Roman"/>
          <w:sz w:val="24"/>
          <w:szCs w:val="24"/>
          <w:lang w:eastAsia="bg-BG"/>
        </w:rPr>
        <w:t xml:space="preserve"> – Предложение за графична визия на Интернет портала на МВнР – до </w:t>
      </w:r>
      <w:r w:rsidRPr="002F674B">
        <w:rPr>
          <w:rFonts w:cs="Times New Roman"/>
          <w:sz w:val="24"/>
          <w:szCs w:val="24"/>
          <w:lang w:val="en-US" w:eastAsia="bg-BG"/>
        </w:rPr>
        <w:t>3</w:t>
      </w:r>
      <w:r w:rsidRPr="002F674B">
        <w:rPr>
          <w:rFonts w:cs="Times New Roman"/>
          <w:sz w:val="24"/>
          <w:szCs w:val="24"/>
          <w:lang w:eastAsia="bg-BG"/>
        </w:rPr>
        <w:t>0 т.</w:t>
      </w:r>
    </w:p>
    <w:p w:rsidR="00297DCC" w:rsidRPr="002F674B" w:rsidRDefault="00297DCC" w:rsidP="00297DCC">
      <w:pPr>
        <w:tabs>
          <w:tab w:val="left" w:pos="0"/>
        </w:tabs>
        <w:spacing w:line="360" w:lineRule="auto"/>
        <w:rPr>
          <w:rFonts w:cs="Times New Roman"/>
        </w:rPr>
      </w:pPr>
      <w:r w:rsidRPr="002F674B">
        <w:rPr>
          <w:rFonts w:cs="Times New Roman"/>
          <w:sz w:val="24"/>
          <w:szCs w:val="24"/>
          <w:lang w:eastAsia="bg-BG"/>
        </w:rPr>
        <w:tab/>
      </w:r>
      <w:r w:rsidRPr="002F674B">
        <w:rPr>
          <w:rFonts w:cs="Times New Roman"/>
          <w:b/>
          <w:sz w:val="24"/>
          <w:szCs w:val="24"/>
          <w:lang w:eastAsia="bg-BG"/>
        </w:rPr>
        <w:t>П3</w:t>
      </w:r>
      <w:r w:rsidRPr="002F674B">
        <w:rPr>
          <w:rFonts w:cs="Times New Roman"/>
          <w:sz w:val="24"/>
          <w:szCs w:val="24"/>
          <w:lang w:eastAsia="bg-BG"/>
        </w:rPr>
        <w:t xml:space="preserve"> – Подход за изпълнение на оптимизацията за търсещи машини – до 20 т.</w:t>
      </w:r>
    </w:p>
    <w:p w:rsidR="00297DCC" w:rsidRPr="002F674B" w:rsidRDefault="00297DCC" w:rsidP="00297DCC">
      <w:pPr>
        <w:tabs>
          <w:tab w:val="left" w:pos="0"/>
        </w:tabs>
        <w:spacing w:line="360" w:lineRule="auto"/>
        <w:rPr>
          <w:rFonts w:cs="Times New Roman"/>
        </w:rPr>
      </w:pPr>
      <w:r w:rsidRPr="002F674B">
        <w:rPr>
          <w:rFonts w:cs="Times New Roman"/>
          <w:sz w:val="24"/>
          <w:szCs w:val="24"/>
          <w:lang w:eastAsia="bg-BG"/>
        </w:rPr>
        <w:tab/>
      </w:r>
      <w:r w:rsidRPr="002F674B">
        <w:rPr>
          <w:rFonts w:cs="Times New Roman"/>
          <w:b/>
          <w:sz w:val="24"/>
          <w:szCs w:val="24"/>
          <w:lang w:eastAsia="bg-BG"/>
        </w:rPr>
        <w:t>П4</w:t>
      </w:r>
      <w:r w:rsidRPr="002F674B">
        <w:rPr>
          <w:rFonts w:cs="Times New Roman"/>
          <w:sz w:val="24"/>
          <w:szCs w:val="24"/>
          <w:lang w:eastAsia="bg-BG"/>
        </w:rPr>
        <w:t xml:space="preserve"> – </w:t>
      </w:r>
      <w:bookmarkStart w:id="0" w:name="__DdeLink__4476_1245799775"/>
      <w:r w:rsidRPr="002F674B">
        <w:rPr>
          <w:rFonts w:cs="Times New Roman"/>
          <w:sz w:val="24"/>
          <w:szCs w:val="24"/>
          <w:lang w:eastAsia="bg-BG"/>
        </w:rPr>
        <w:t>Подход за гарантиране на сигурността на системата</w:t>
      </w:r>
      <w:bookmarkEnd w:id="0"/>
      <w:r w:rsidRPr="002F674B">
        <w:rPr>
          <w:rFonts w:cs="Times New Roman"/>
          <w:sz w:val="24"/>
          <w:szCs w:val="24"/>
          <w:lang w:eastAsia="bg-BG"/>
        </w:rPr>
        <w:t xml:space="preserve"> – до 30 т.</w:t>
      </w:r>
    </w:p>
    <w:p w:rsidR="00297DCC" w:rsidRPr="002F674B" w:rsidRDefault="00297DCC" w:rsidP="00297DCC">
      <w:pPr>
        <w:tabs>
          <w:tab w:val="left" w:pos="0"/>
        </w:tabs>
        <w:spacing w:line="360" w:lineRule="auto"/>
        <w:rPr>
          <w:rFonts w:cs="Times New Roman"/>
          <w:sz w:val="24"/>
          <w:szCs w:val="24"/>
          <w:lang w:eastAsia="bg-BG"/>
        </w:rPr>
      </w:pPr>
    </w:p>
    <w:p w:rsidR="00297DCC" w:rsidRPr="002F674B" w:rsidRDefault="00297DCC" w:rsidP="00297DCC">
      <w:pPr>
        <w:tabs>
          <w:tab w:val="left" w:pos="0"/>
        </w:tabs>
        <w:spacing w:line="360" w:lineRule="auto"/>
        <w:rPr>
          <w:rFonts w:cs="Times New Roman"/>
          <w:sz w:val="24"/>
          <w:szCs w:val="24"/>
          <w:lang w:eastAsia="bg-BG"/>
        </w:rPr>
      </w:pPr>
      <w:r w:rsidRPr="002F674B">
        <w:rPr>
          <w:rFonts w:cs="Times New Roman"/>
          <w:sz w:val="24"/>
          <w:szCs w:val="24"/>
          <w:lang w:eastAsia="bg-BG"/>
        </w:rPr>
        <w:tab/>
        <w:t>Начинът за оценка е както следва: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992"/>
        <w:gridCol w:w="2552"/>
        <w:gridCol w:w="6095"/>
      </w:tblGrid>
      <w:tr w:rsidR="00297DCC" w:rsidRPr="002F674B" w:rsidTr="00957E88">
        <w:trPr>
          <w:trHeight w:val="39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F674B">
              <w:rPr>
                <w:rFonts w:cs="Times New Roman"/>
                <w:b/>
                <w:sz w:val="24"/>
                <w:szCs w:val="24"/>
              </w:rPr>
              <w:t>Подпоказател</w:t>
            </w:r>
            <w:proofErr w:type="spellEnd"/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674B">
              <w:rPr>
                <w:rFonts w:cs="Times New Roman"/>
                <w:b/>
                <w:sz w:val="24"/>
                <w:szCs w:val="24"/>
              </w:rPr>
              <w:t>Начин за оценка</w:t>
            </w:r>
          </w:p>
        </w:tc>
      </w:tr>
      <w:tr w:rsidR="00297DCC" w:rsidRPr="002F674B" w:rsidTr="00957E88">
        <w:trPr>
          <w:trHeight w:val="397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  <w:sz w:val="24"/>
                <w:szCs w:val="24"/>
              </w:rPr>
            </w:pPr>
            <w:r w:rsidRPr="002F674B">
              <w:rPr>
                <w:rFonts w:cs="Times New Roman"/>
                <w:sz w:val="24"/>
                <w:szCs w:val="24"/>
              </w:rPr>
              <w:t>П1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jc w:val="left"/>
              <w:rPr>
                <w:rFonts w:cs="Times New Roman"/>
              </w:rPr>
            </w:pPr>
            <w:r w:rsidRPr="002F674B">
              <w:rPr>
                <w:rFonts w:cs="Times New Roman"/>
                <w:sz w:val="24"/>
                <w:szCs w:val="24"/>
              </w:rPr>
              <w:t>Подход за реализация на Интернет портала на МВнР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after="120"/>
              <w:ind w:right="-2"/>
              <w:rPr>
                <w:rFonts w:cs="Times New Roman"/>
                <w:sz w:val="24"/>
                <w:szCs w:val="24"/>
              </w:rPr>
            </w:pPr>
            <w:r w:rsidRPr="002F674B">
              <w:rPr>
                <w:rFonts w:cs="Times New Roman"/>
                <w:b/>
                <w:sz w:val="24"/>
                <w:szCs w:val="24"/>
              </w:rPr>
              <w:t>20 точки</w:t>
            </w:r>
            <w:r w:rsidRPr="002F674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2F674B">
              <w:rPr>
                <w:rFonts w:cs="Times New Roman"/>
                <w:sz w:val="24"/>
                <w:szCs w:val="24"/>
              </w:rPr>
              <w:t xml:space="preserve"> 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F674B">
              <w:rPr>
                <w:rFonts w:cs="Times New Roman"/>
                <w:sz w:val="24"/>
                <w:szCs w:val="24"/>
              </w:rPr>
              <w:t>предложението на участника са налице следните обстоятелства: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Предложението на участника представя подхода му за реализация на всяка от заложените в техническото задание функционалности на портала на МВнР и предлага реализирането на допълнителни функционалности въз основа на анализа на добрите практики за институционални сайтове и портали.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За всяка една от функционалностите са описани дейностите, необходими за реализацията ѝ като са посочени очакваните резултати от изпълнението ѝ, подкрепени от конкретни примери.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 xml:space="preserve">Предложението на участника представя подхода му за реализиране на възможността за поддържане и управление на </w:t>
            </w:r>
            <w:proofErr w:type="spellStart"/>
            <w:r w:rsidRPr="002F674B">
              <w:t>микросайтове</w:t>
            </w:r>
            <w:proofErr w:type="spellEnd"/>
            <w:r w:rsidRPr="002F674B">
              <w:t xml:space="preserve"> на дипломатическите и консулските представителства на Република България в портала на МВнР. 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left="714" w:right="-28" w:hanging="357"/>
            </w:pPr>
            <w:r w:rsidRPr="002F674B">
              <w:t xml:space="preserve">Предложението на участника представя примерни схеми и/или екрани за основните функции на </w:t>
            </w:r>
            <w:r w:rsidRPr="002F674B">
              <w:lastRenderedPageBreak/>
              <w:t>портала, в съответствие със заложеното в техническото задание.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left="714" w:right="-28" w:hanging="357"/>
            </w:pPr>
            <w:r w:rsidRPr="002F674B">
              <w:t>Описани са основните и алтернативните сценарии за работа с портала, като са посочени и очакваните резултати от всеки един от тях.</w:t>
            </w:r>
          </w:p>
        </w:tc>
      </w:tr>
      <w:tr w:rsidR="00297DCC" w:rsidRPr="002F674B" w:rsidTr="00957E88">
        <w:trPr>
          <w:trHeight w:val="397"/>
        </w:trPr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pStyle w:val="Default"/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after="120"/>
              <w:ind w:right="-2"/>
              <w:rPr>
                <w:rFonts w:cs="Times New Roman"/>
                <w:sz w:val="24"/>
                <w:szCs w:val="24"/>
              </w:rPr>
            </w:pPr>
            <w:r w:rsidRPr="002F674B">
              <w:rPr>
                <w:rFonts w:cs="Times New Roman"/>
                <w:b/>
                <w:sz w:val="24"/>
                <w:szCs w:val="24"/>
              </w:rPr>
              <w:t>10 точки</w:t>
            </w:r>
            <w:r w:rsidRPr="002F674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2F674B">
              <w:rPr>
                <w:rFonts w:cs="Times New Roman"/>
                <w:sz w:val="24"/>
                <w:szCs w:val="24"/>
              </w:rPr>
              <w:t xml:space="preserve"> 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F674B">
              <w:rPr>
                <w:rFonts w:cs="Times New Roman"/>
                <w:sz w:val="24"/>
                <w:szCs w:val="24"/>
              </w:rPr>
              <w:t>предложението на участника са налице следните обстоятелства: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Предложението на участника представя подхода му за реализация на повечето от заложените в техническото задание функционалности на портала на МВнР.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За повечето от функционалностите са описани дейностите, необходими за реализацията им като са посочени очакваните резултати от изпълнението им, подкрепени от конкретни примери.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 xml:space="preserve">Предложението на участника представя подхода му за реализиране на възможността за поддържане и управление на </w:t>
            </w:r>
            <w:proofErr w:type="spellStart"/>
            <w:r w:rsidRPr="002F674B">
              <w:t>микросайтове</w:t>
            </w:r>
            <w:proofErr w:type="spellEnd"/>
            <w:r w:rsidRPr="002F674B">
              <w:t xml:space="preserve"> на дипломатическите и консулските представителства на Република България в портала на МВнР.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714" w:right="-28" w:hanging="357"/>
            </w:pPr>
            <w:r w:rsidRPr="002F674B">
              <w:t>Предложението на участника представя примерни схеми и/или екрани за някои от функциите на портала, в съответствие със заложеното в техническото задание.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714" w:right="-28" w:hanging="357"/>
            </w:pPr>
            <w:r w:rsidRPr="002F674B">
              <w:t>Описани са основните сценарии за работа с портала, като са посочени и очакваните резултати от всеки един от тях.</w:t>
            </w:r>
          </w:p>
        </w:tc>
      </w:tr>
      <w:tr w:rsidR="00297DCC" w:rsidRPr="002F674B" w:rsidTr="00957E88">
        <w:trPr>
          <w:trHeight w:val="1265"/>
        </w:trPr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pStyle w:val="Default"/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after="120"/>
              <w:ind w:right="-2"/>
              <w:rPr>
                <w:rFonts w:cs="Times New Roman"/>
                <w:sz w:val="24"/>
                <w:szCs w:val="24"/>
              </w:rPr>
            </w:pPr>
            <w:r w:rsidRPr="002F674B">
              <w:rPr>
                <w:rFonts w:cs="Times New Roman"/>
                <w:b/>
                <w:sz w:val="24"/>
                <w:szCs w:val="24"/>
              </w:rPr>
              <w:t>5 точки</w:t>
            </w:r>
            <w:r w:rsidRPr="002F674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2F674B">
              <w:rPr>
                <w:rFonts w:cs="Times New Roman"/>
                <w:sz w:val="24"/>
                <w:szCs w:val="24"/>
              </w:rPr>
              <w:t xml:space="preserve"> 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F674B">
              <w:rPr>
                <w:rFonts w:cs="Times New Roman"/>
                <w:sz w:val="24"/>
                <w:szCs w:val="24"/>
              </w:rPr>
              <w:t>предложението на участника са налице следните обстоятелства: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Предложението на участника представя подхода му за реализация на някои от заложените в техническото задание функционалности на портала на МВнР.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За някои от функционалностите са описани дейностите, необходими за реализацията им като са посочени очакваните резултати от изпълнението им.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714" w:right="-28" w:hanging="357"/>
            </w:pPr>
            <w:r w:rsidRPr="002F674B">
              <w:t>Описани са някои от сценариите за работа с портала, като са посочени и очакваните резултати.</w:t>
            </w:r>
          </w:p>
        </w:tc>
      </w:tr>
      <w:tr w:rsidR="00297DCC" w:rsidRPr="002F674B" w:rsidTr="00957E88">
        <w:trPr>
          <w:trHeight w:val="416"/>
        </w:trPr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pStyle w:val="Default"/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5B0186" w:rsidRDefault="00297DCC" w:rsidP="00957E88">
            <w:pPr>
              <w:spacing w:after="120"/>
              <w:rPr>
                <w:b/>
                <w:sz w:val="24"/>
                <w:szCs w:val="24"/>
              </w:rPr>
            </w:pPr>
            <w:r w:rsidRPr="005B0186">
              <w:rPr>
                <w:b/>
                <w:sz w:val="24"/>
                <w:szCs w:val="24"/>
              </w:rPr>
              <w:t xml:space="preserve">Когато комисията единодушно констатира, че предложението на участника не представя </w:t>
            </w:r>
            <w:r>
              <w:rPr>
                <w:b/>
                <w:sz w:val="24"/>
                <w:szCs w:val="24"/>
              </w:rPr>
              <w:t xml:space="preserve">цялостния </w:t>
            </w:r>
            <w:r w:rsidRPr="005C7EBF">
              <w:rPr>
                <w:b/>
                <w:sz w:val="24"/>
                <w:szCs w:val="24"/>
              </w:rPr>
              <w:t>подход за реализация на Интернет портала на МВнР</w:t>
            </w:r>
            <w:r w:rsidRPr="005B0186">
              <w:rPr>
                <w:b/>
                <w:sz w:val="24"/>
                <w:szCs w:val="24"/>
              </w:rPr>
              <w:t xml:space="preserve"> или не съответства на минималните заложени в техническото задание изисквания, участникът се отстранява от по-нататъшно участие в процедурата.</w:t>
            </w:r>
          </w:p>
        </w:tc>
      </w:tr>
      <w:tr w:rsidR="00297DCC" w:rsidRPr="002F674B" w:rsidTr="00957E88">
        <w:trPr>
          <w:trHeight w:val="397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  <w:sz w:val="24"/>
                <w:szCs w:val="24"/>
                <w:lang w:val="en-US"/>
              </w:rPr>
            </w:pPr>
            <w:r w:rsidRPr="002F674B">
              <w:rPr>
                <w:rFonts w:cs="Times New Roman"/>
                <w:sz w:val="24"/>
                <w:szCs w:val="24"/>
              </w:rPr>
              <w:t>П2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tabs>
                <w:tab w:val="left" w:pos="0"/>
              </w:tabs>
              <w:spacing w:line="360" w:lineRule="auto"/>
              <w:jc w:val="left"/>
              <w:rPr>
                <w:rFonts w:cs="Times New Roman"/>
              </w:rPr>
            </w:pPr>
            <w:r w:rsidRPr="002F674B">
              <w:rPr>
                <w:rFonts w:cs="Times New Roman"/>
                <w:sz w:val="24"/>
                <w:szCs w:val="24"/>
                <w:lang w:eastAsia="bg-BG"/>
              </w:rPr>
              <w:t>Предложение за графична визия на Интернет портала на МВнР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Не повече от 12</w:t>
            </w:r>
            <w:r w:rsidRPr="002F674B">
              <w:rPr>
                <w:rFonts w:cs="Times New Roman"/>
                <w:b/>
                <w:sz w:val="24"/>
                <w:szCs w:val="24"/>
              </w:rPr>
              <w:t xml:space="preserve"> точки</w:t>
            </w:r>
            <w:r w:rsidRPr="002F674B">
              <w:rPr>
                <w:rFonts w:cs="Times New Roman"/>
                <w:sz w:val="24"/>
                <w:szCs w:val="24"/>
              </w:rPr>
              <w:t xml:space="preserve"> – В предложението на участника са представени: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t xml:space="preserve">Предложение за подреждането и структурирането на информацията </w:t>
            </w:r>
            <w:r w:rsidRPr="002F674B">
              <w:rPr>
                <w:lang w:val="en-US"/>
              </w:rPr>
              <w:t>(wireframe</w:t>
            </w:r>
            <w:r w:rsidRPr="002F674B">
              <w:t xml:space="preserve">) за началната страница на сайта за </w:t>
            </w:r>
            <w:r w:rsidRPr="002F674B">
              <w:rPr>
                <w:lang w:val="en-US"/>
              </w:rPr>
              <w:t xml:space="preserve">desktop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t xml:space="preserve">Предложение за графично оформление </w:t>
            </w:r>
            <w:r w:rsidRPr="002F674B">
              <w:rPr>
                <w:lang w:val="en-US"/>
              </w:rPr>
              <w:t>(mockup</w:t>
            </w:r>
            <w:r w:rsidRPr="002F674B">
              <w:t>) за началната страница на сайта за</w:t>
            </w:r>
            <w:r w:rsidRPr="002F674B">
              <w:rPr>
                <w:lang w:val="en-US"/>
              </w:rPr>
              <w:t xml:space="preserve"> desktop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t xml:space="preserve">Предложение за подреждането и структурирането на информацията </w:t>
            </w:r>
            <w:r w:rsidRPr="002F674B">
              <w:rPr>
                <w:lang w:val="en-US"/>
              </w:rPr>
              <w:t>(wireframe</w:t>
            </w:r>
            <w:r w:rsidRPr="002F674B">
              <w:t>) за началната страница на сайта за мобилно</w:t>
            </w:r>
            <w:r w:rsidRPr="002F674B">
              <w:rPr>
                <w:lang w:val="en-US"/>
              </w:rPr>
              <w:t xml:space="preserve">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t xml:space="preserve">Предложение за графично оформление </w:t>
            </w:r>
            <w:r w:rsidRPr="002F674B">
              <w:rPr>
                <w:lang w:val="en-US"/>
              </w:rPr>
              <w:t>(mockup</w:t>
            </w:r>
            <w:r w:rsidRPr="002F674B">
              <w:t>) за началната страница на сайта за</w:t>
            </w:r>
            <w:r w:rsidRPr="002F674B">
              <w:rPr>
                <w:lang w:val="en-US"/>
              </w:rPr>
              <w:t xml:space="preserve"> </w:t>
            </w:r>
            <w:r w:rsidRPr="002F674B">
              <w:t>мобилно</w:t>
            </w:r>
            <w:r w:rsidRPr="002F674B">
              <w:rPr>
                <w:lang w:val="en-US"/>
              </w:rPr>
              <w:t xml:space="preserve">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t xml:space="preserve">Предложение за подреждането и структурирането на информацията </w:t>
            </w:r>
            <w:r w:rsidRPr="002F674B">
              <w:rPr>
                <w:lang w:val="en-US"/>
              </w:rPr>
              <w:t>(wireframe</w:t>
            </w:r>
            <w:r w:rsidRPr="002F674B">
              <w:t xml:space="preserve">) за вътрешна страница на сайта за </w:t>
            </w:r>
            <w:r w:rsidRPr="002F674B">
              <w:rPr>
                <w:lang w:val="en-US"/>
              </w:rPr>
              <w:t xml:space="preserve">desktop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t xml:space="preserve">Предложение за графично оформление </w:t>
            </w:r>
            <w:r w:rsidRPr="002F674B">
              <w:rPr>
                <w:lang w:val="en-US"/>
              </w:rPr>
              <w:t>(mockup</w:t>
            </w:r>
            <w:r w:rsidRPr="002F674B">
              <w:t>) за вътрешна страница на сайта за</w:t>
            </w:r>
            <w:r w:rsidRPr="002F674B">
              <w:rPr>
                <w:lang w:val="en-US"/>
              </w:rPr>
              <w:t xml:space="preserve"> desktop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t xml:space="preserve">Предложение за подреждането и структурирането на информацията </w:t>
            </w:r>
            <w:r w:rsidRPr="002F674B">
              <w:rPr>
                <w:lang w:val="en-US"/>
              </w:rPr>
              <w:t>(wireframe</w:t>
            </w:r>
            <w:r w:rsidRPr="002F674B">
              <w:t>) за вътрешна страница на сайта за мобилно</w:t>
            </w:r>
            <w:r w:rsidRPr="002F674B">
              <w:rPr>
                <w:lang w:val="en-US"/>
              </w:rPr>
              <w:t xml:space="preserve">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t xml:space="preserve">Предложение за графично оформление </w:t>
            </w:r>
            <w:r w:rsidRPr="002F674B">
              <w:rPr>
                <w:lang w:val="en-US"/>
              </w:rPr>
              <w:t>(mockup</w:t>
            </w:r>
            <w:r w:rsidRPr="002F674B">
              <w:t>) за вътрешна страница на сайта за</w:t>
            </w:r>
            <w:r w:rsidRPr="002F674B">
              <w:rPr>
                <w:lang w:val="en-US"/>
              </w:rPr>
              <w:t xml:space="preserve"> </w:t>
            </w:r>
            <w:r w:rsidRPr="002F674B">
              <w:t>мобилно</w:t>
            </w:r>
            <w:r w:rsidRPr="002F674B">
              <w:rPr>
                <w:lang w:val="en-US"/>
              </w:rPr>
              <w:t xml:space="preserve">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lastRenderedPageBreak/>
              <w:t xml:space="preserve">Предложение за подреждането и структурирането на информацията </w:t>
            </w:r>
            <w:r w:rsidRPr="002F674B">
              <w:rPr>
                <w:lang w:val="en-US"/>
              </w:rPr>
              <w:t>(wireframe</w:t>
            </w:r>
            <w:r w:rsidRPr="002F674B">
              <w:t xml:space="preserve">) за </w:t>
            </w:r>
            <w:proofErr w:type="spellStart"/>
            <w:r w:rsidRPr="002F674B">
              <w:t>микросайт</w:t>
            </w:r>
            <w:proofErr w:type="spellEnd"/>
            <w:r w:rsidRPr="002F674B">
              <w:t xml:space="preserve"> за </w:t>
            </w:r>
            <w:r w:rsidRPr="002F674B">
              <w:rPr>
                <w:lang w:val="en-US"/>
              </w:rPr>
              <w:t xml:space="preserve">desktop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t xml:space="preserve">Предложение за графично оформление </w:t>
            </w:r>
            <w:r w:rsidRPr="002F674B">
              <w:rPr>
                <w:lang w:val="en-US"/>
              </w:rPr>
              <w:t>(mockup</w:t>
            </w:r>
            <w:r w:rsidRPr="002F674B">
              <w:t xml:space="preserve">) за </w:t>
            </w:r>
            <w:proofErr w:type="spellStart"/>
            <w:r w:rsidRPr="002F674B">
              <w:t>микросайт</w:t>
            </w:r>
            <w:proofErr w:type="spellEnd"/>
            <w:r w:rsidRPr="002F674B">
              <w:t xml:space="preserve"> за</w:t>
            </w:r>
            <w:r w:rsidRPr="002F674B">
              <w:rPr>
                <w:lang w:val="en-US"/>
              </w:rPr>
              <w:t xml:space="preserve"> desktop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t xml:space="preserve">Предложение за подреждането и структурирането на информацията </w:t>
            </w:r>
            <w:r w:rsidRPr="002F674B">
              <w:rPr>
                <w:lang w:val="en-US"/>
              </w:rPr>
              <w:t>(wireframe</w:t>
            </w:r>
            <w:r w:rsidRPr="002F674B">
              <w:t xml:space="preserve">) за </w:t>
            </w:r>
            <w:proofErr w:type="spellStart"/>
            <w:r w:rsidRPr="002F674B">
              <w:t>микросайт</w:t>
            </w:r>
            <w:proofErr w:type="spellEnd"/>
            <w:r w:rsidRPr="002F674B">
              <w:t xml:space="preserve"> за мобилно</w:t>
            </w:r>
            <w:r w:rsidRPr="002F674B">
              <w:rPr>
                <w:lang w:val="en-US"/>
              </w:rPr>
              <w:t xml:space="preserve">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2"/>
              </w:numPr>
              <w:spacing w:line="360" w:lineRule="auto"/>
              <w:ind w:right="-28"/>
            </w:pPr>
            <w:r w:rsidRPr="002F674B">
              <w:t xml:space="preserve">Предложение за графично оформление </w:t>
            </w:r>
            <w:r w:rsidRPr="002F674B">
              <w:rPr>
                <w:lang w:val="en-US"/>
              </w:rPr>
              <w:t>(mockup</w:t>
            </w:r>
            <w:r w:rsidRPr="002F674B">
              <w:t xml:space="preserve">) за </w:t>
            </w:r>
            <w:proofErr w:type="spellStart"/>
            <w:r w:rsidRPr="002F674B">
              <w:t>микросайт</w:t>
            </w:r>
            <w:proofErr w:type="spellEnd"/>
            <w:r w:rsidRPr="002F674B">
              <w:t xml:space="preserve"> за</w:t>
            </w:r>
            <w:r w:rsidRPr="002F674B">
              <w:rPr>
                <w:lang w:val="en-US"/>
              </w:rPr>
              <w:t xml:space="preserve"> </w:t>
            </w:r>
            <w:r w:rsidRPr="002F674B">
              <w:t>мобилно</w:t>
            </w:r>
            <w:r w:rsidRPr="002F674B">
              <w:rPr>
                <w:lang w:val="en-US"/>
              </w:rPr>
              <w:t xml:space="preserve"> </w:t>
            </w:r>
            <w:r w:rsidRPr="002F674B">
              <w:t>устройство;</w:t>
            </w:r>
          </w:p>
          <w:p w:rsidR="00297DCC" w:rsidRPr="002F674B" w:rsidRDefault="00297DCC" w:rsidP="00957E88">
            <w:pPr>
              <w:pStyle w:val="Style1"/>
              <w:spacing w:line="360" w:lineRule="auto"/>
              <w:ind w:right="-28" w:firstLine="0"/>
              <w:rPr>
                <w:i/>
              </w:rPr>
            </w:pPr>
            <w:r w:rsidRPr="002F674B">
              <w:rPr>
                <w:i/>
              </w:rPr>
              <w:t>За всяко от изброените по-горе приложения се дава 1 точка.</w:t>
            </w:r>
          </w:p>
        </w:tc>
      </w:tr>
      <w:tr w:rsidR="00297DCC" w:rsidRPr="002F674B" w:rsidTr="00957E88">
        <w:trPr>
          <w:trHeight w:val="7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pStyle w:val="Default"/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pStyle w:val="Style1"/>
              <w:spacing w:line="360" w:lineRule="auto"/>
              <w:ind w:right="-28" w:firstLine="0"/>
            </w:pPr>
            <w:r>
              <w:rPr>
                <w:b/>
              </w:rPr>
              <w:t>9</w:t>
            </w:r>
            <w:r w:rsidRPr="005046C2">
              <w:rPr>
                <w:b/>
              </w:rPr>
              <w:t xml:space="preserve"> допълнителни точки</w:t>
            </w:r>
            <w:r>
              <w:t xml:space="preserve"> – </w:t>
            </w:r>
            <w:r w:rsidRPr="002F674B">
              <w:t>предложението на участника за графичн</w:t>
            </w:r>
            <w:r>
              <w:t>ото</w:t>
            </w:r>
            <w:r w:rsidRPr="002F674B">
              <w:t xml:space="preserve"> </w:t>
            </w:r>
            <w:r>
              <w:t>оформление</w:t>
            </w:r>
            <w:r w:rsidRPr="002F674B">
              <w:t xml:space="preserve"> на Интернет портала на МВнР</w:t>
            </w:r>
            <w:r>
              <w:t xml:space="preserve"> включва описание, което демонстрира подход и разбиране за реализиране на дейностите.</w:t>
            </w:r>
          </w:p>
        </w:tc>
      </w:tr>
      <w:tr w:rsidR="00297DCC" w:rsidRPr="002F674B" w:rsidTr="00957E88">
        <w:trPr>
          <w:trHeight w:val="397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pStyle w:val="Default"/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pStyle w:val="Style1"/>
              <w:spacing w:line="360" w:lineRule="auto"/>
              <w:ind w:right="-28" w:firstLine="0"/>
            </w:pPr>
            <w:r>
              <w:rPr>
                <w:b/>
              </w:rPr>
              <w:t>9</w:t>
            </w:r>
            <w:r w:rsidRPr="005046C2">
              <w:rPr>
                <w:b/>
              </w:rPr>
              <w:t xml:space="preserve"> допълнителни точки</w:t>
            </w:r>
            <w:r>
              <w:t xml:space="preserve"> – </w:t>
            </w:r>
            <w:r w:rsidRPr="002F674B">
              <w:t>предложението на участника за графичн</w:t>
            </w:r>
            <w:r>
              <w:t>ото</w:t>
            </w:r>
            <w:r w:rsidRPr="002F674B">
              <w:t xml:space="preserve"> </w:t>
            </w:r>
            <w:r>
              <w:t>оформление</w:t>
            </w:r>
            <w:r w:rsidRPr="002F674B">
              <w:t xml:space="preserve"> на Интернет портала на МВнР</w:t>
            </w:r>
            <w:r>
              <w:t xml:space="preserve"> включва оригинален начин за интерактивно представяне на проекта.</w:t>
            </w:r>
          </w:p>
        </w:tc>
      </w:tr>
      <w:tr w:rsidR="00297DCC" w:rsidRPr="002F674B" w:rsidTr="00957E88">
        <w:trPr>
          <w:trHeight w:val="397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  <w:sz w:val="24"/>
                <w:szCs w:val="24"/>
              </w:rPr>
            </w:pPr>
            <w:r w:rsidRPr="002F674B">
              <w:rPr>
                <w:rFonts w:cs="Times New Roman"/>
                <w:sz w:val="24"/>
                <w:szCs w:val="24"/>
              </w:rPr>
              <w:t>П3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tabs>
                <w:tab w:val="left" w:pos="0"/>
              </w:tabs>
              <w:spacing w:line="360" w:lineRule="auto"/>
              <w:jc w:val="left"/>
              <w:rPr>
                <w:rFonts w:cs="Times New Roman"/>
              </w:rPr>
            </w:pPr>
            <w:r w:rsidRPr="002F674B">
              <w:rPr>
                <w:rFonts w:cs="Times New Roman"/>
                <w:sz w:val="24"/>
                <w:szCs w:val="24"/>
                <w:lang w:eastAsia="bg-BG"/>
              </w:rPr>
              <w:t>Подход за изпълнение на оптимизацията за търсещи машини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5B0186" w:rsidRDefault="00297DCC" w:rsidP="00957E88">
            <w:pPr>
              <w:spacing w:after="120"/>
              <w:ind w:right="-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5B0186">
              <w:rPr>
                <w:b/>
                <w:sz w:val="24"/>
                <w:szCs w:val="24"/>
              </w:rPr>
              <w:t xml:space="preserve"> точки</w:t>
            </w:r>
            <w:r w:rsidRPr="005B0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в</w:t>
            </w:r>
            <w:r w:rsidRPr="005B0186">
              <w:rPr>
                <w:sz w:val="24"/>
                <w:szCs w:val="24"/>
              </w:rPr>
              <w:t xml:space="preserve"> предложението </w:t>
            </w:r>
            <w:r>
              <w:rPr>
                <w:sz w:val="24"/>
                <w:szCs w:val="24"/>
              </w:rPr>
              <w:t xml:space="preserve">на участника </w:t>
            </w:r>
            <w:r w:rsidRPr="005B0186">
              <w:rPr>
                <w:sz w:val="24"/>
                <w:szCs w:val="24"/>
              </w:rPr>
              <w:t>са налице следните обстоятелства:</w:t>
            </w:r>
          </w:p>
          <w:p w:rsidR="00297DCC" w:rsidRDefault="00297DCC" w:rsidP="00957E88">
            <w:pPr>
              <w:pStyle w:val="Style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П</w:t>
            </w:r>
            <w:r>
              <w:t>редставен е конкретният подход на участника за оптимизация за търсещи машини и избора на подхода му. Описани са всички видове дейности, технологията и технологичната последователност на тяхното изпълнение в съответствие с изискванията на техническото задание.</w:t>
            </w:r>
          </w:p>
          <w:p w:rsidR="00297DCC" w:rsidRDefault="00297DCC" w:rsidP="00957E88">
            <w:pPr>
              <w:pStyle w:val="Style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П</w:t>
            </w:r>
            <w:r>
              <w:t>редставен е конкретният подход на участника за организиране и поддържане на присъствието на МВнР в социалните мрежи и е подробно обоснован избора на подхода му.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5B0186">
              <w:t>Предложението</w:t>
            </w:r>
            <w:r>
              <w:t xml:space="preserve"> на участника</w:t>
            </w:r>
            <w:r w:rsidRPr="005B0186">
              <w:t xml:space="preserve"> </w:t>
            </w:r>
            <w:r>
              <w:t xml:space="preserve">демонстрира задълбочено разбиране и познаване на технологиите използвани от търсещите машини и </w:t>
            </w:r>
            <w:r>
              <w:lastRenderedPageBreak/>
              <w:t>социалните мрежи за събиране на информация и техниките за контролиране и оптимизиране на тези дейности.</w:t>
            </w:r>
          </w:p>
          <w:p w:rsidR="00297DCC" w:rsidRDefault="00297DCC" w:rsidP="00957E88">
            <w:pPr>
              <w:pStyle w:val="Style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>
              <w:t>Съдържа детайлно и последователно описание на начините и мерките за постигане на качество при изпълнение на дейностите, съобразени със спецификата на институционалното присъствие в Интернет.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>
              <w:t>Съдържа описание на организацията на участника за изпълнение на дейностите и на използваните от него ресурси, съобразени с избрания от него подход за реализация.</w:t>
            </w:r>
          </w:p>
        </w:tc>
      </w:tr>
      <w:tr w:rsidR="00297DCC" w:rsidRPr="002F674B" w:rsidTr="00957E88">
        <w:trPr>
          <w:trHeight w:val="7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pStyle w:val="Default"/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5B0186" w:rsidRDefault="00297DCC" w:rsidP="00957E88">
            <w:pPr>
              <w:spacing w:after="120"/>
              <w:ind w:right="-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B0186">
              <w:rPr>
                <w:b/>
                <w:sz w:val="24"/>
                <w:szCs w:val="24"/>
              </w:rPr>
              <w:t xml:space="preserve"> точки</w:t>
            </w:r>
            <w:r w:rsidRPr="005B0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в</w:t>
            </w:r>
            <w:r w:rsidRPr="005B0186">
              <w:rPr>
                <w:sz w:val="24"/>
                <w:szCs w:val="24"/>
              </w:rPr>
              <w:t xml:space="preserve"> предложението </w:t>
            </w:r>
            <w:r>
              <w:rPr>
                <w:sz w:val="24"/>
                <w:szCs w:val="24"/>
              </w:rPr>
              <w:t xml:space="preserve">на участника </w:t>
            </w:r>
            <w:r w:rsidRPr="005B0186">
              <w:rPr>
                <w:sz w:val="24"/>
                <w:szCs w:val="24"/>
              </w:rPr>
              <w:t>са налице следните обстоятелства:</w:t>
            </w:r>
          </w:p>
          <w:p w:rsidR="00297DCC" w:rsidRDefault="00297DCC" w:rsidP="00957E88">
            <w:pPr>
              <w:pStyle w:val="Style1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П</w:t>
            </w:r>
            <w:r>
              <w:t>редставен е конкретният подход на участника за оптимизация за търсещи машини и избора на подхода му. Описани са дейности, технологията и технологичната последователност на тяхното изпълнение в съответствие с изискванията на техническото задание.</w:t>
            </w:r>
          </w:p>
          <w:p w:rsidR="00297DCC" w:rsidRDefault="00297DCC" w:rsidP="00957E88">
            <w:pPr>
              <w:pStyle w:val="Style1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П</w:t>
            </w:r>
            <w:r>
              <w:t>редставен е конкретният подход на участника за организиране и поддържане на присъствието на МВнР в социалните мрежи и е обоснован избора на подхода му.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5B0186">
              <w:t>Предложението</w:t>
            </w:r>
            <w:r>
              <w:t xml:space="preserve"> на участника</w:t>
            </w:r>
            <w:r w:rsidRPr="005B0186">
              <w:t xml:space="preserve"> </w:t>
            </w:r>
            <w:r>
              <w:t>демонстрира разбиране и познаване на технологиите използвани от търсещите машини и социалните мрежи за събиране на информация и техниките за контролиране и оптимизиране на тези дейности.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>
              <w:t>Съдържа описание на начините и мерките за постигане на качество при изпълнение на дейностите, съобразени със спецификата на институционалното присъствие в Интернет.</w:t>
            </w:r>
          </w:p>
        </w:tc>
      </w:tr>
      <w:tr w:rsidR="00297DCC" w:rsidRPr="002F674B" w:rsidTr="00957E88">
        <w:trPr>
          <w:trHeight w:val="397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pStyle w:val="Default"/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5B0186" w:rsidRDefault="00297DCC" w:rsidP="00957E88">
            <w:pPr>
              <w:spacing w:after="120"/>
              <w:ind w:right="-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5B0186">
              <w:rPr>
                <w:b/>
                <w:sz w:val="24"/>
                <w:szCs w:val="24"/>
              </w:rPr>
              <w:t xml:space="preserve"> точки</w:t>
            </w:r>
            <w:r w:rsidRPr="005B0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в</w:t>
            </w:r>
            <w:r w:rsidRPr="005B0186">
              <w:rPr>
                <w:sz w:val="24"/>
                <w:szCs w:val="24"/>
              </w:rPr>
              <w:t xml:space="preserve"> предложението </w:t>
            </w:r>
            <w:r>
              <w:rPr>
                <w:sz w:val="24"/>
                <w:szCs w:val="24"/>
              </w:rPr>
              <w:t xml:space="preserve">на участника </w:t>
            </w:r>
            <w:r w:rsidRPr="005B0186">
              <w:rPr>
                <w:sz w:val="24"/>
                <w:szCs w:val="24"/>
              </w:rPr>
              <w:t>са налице следните обстоятелства:</w:t>
            </w:r>
          </w:p>
          <w:p w:rsidR="00297DCC" w:rsidRDefault="00297DCC" w:rsidP="00957E88">
            <w:pPr>
              <w:pStyle w:val="Style1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П</w:t>
            </w:r>
            <w:r>
              <w:t xml:space="preserve">редставен е подходът на участника за оптимизация за търсещи машини. Описани са </w:t>
            </w:r>
            <w:bookmarkStart w:id="1" w:name="_GoBack"/>
            <w:bookmarkEnd w:id="1"/>
            <w:r>
              <w:t>дейности, технологията и технологичната последователност на тяхното изпълнение в съответствие с изискванията на техническото задание.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П</w:t>
            </w:r>
            <w:r>
              <w:t xml:space="preserve">редставен е подходът на участника за </w:t>
            </w:r>
            <w:r>
              <w:lastRenderedPageBreak/>
              <w:t>организиране и поддържане на присъствието на МВнР в социалните мрежи.</w:t>
            </w:r>
          </w:p>
        </w:tc>
      </w:tr>
      <w:tr w:rsidR="00297DCC" w:rsidRPr="002F674B" w:rsidTr="00957E88">
        <w:trPr>
          <w:trHeight w:val="368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</w:rPr>
            </w:pPr>
            <w:r w:rsidRPr="002F674B">
              <w:rPr>
                <w:rFonts w:cs="Times New Roman"/>
              </w:rPr>
              <w:lastRenderedPageBreak/>
              <w:t>П4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tabs>
                <w:tab w:val="left" w:pos="0"/>
              </w:tabs>
              <w:spacing w:line="360" w:lineRule="auto"/>
              <w:jc w:val="left"/>
              <w:rPr>
                <w:rFonts w:cs="Times New Roman"/>
              </w:rPr>
            </w:pPr>
            <w:r w:rsidRPr="002F674B">
              <w:rPr>
                <w:rFonts w:cs="Times New Roman"/>
                <w:sz w:val="24"/>
                <w:szCs w:val="24"/>
                <w:lang w:eastAsia="bg-BG"/>
              </w:rPr>
              <w:t>Подход за гарантиране на сигурността на системата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5B0186" w:rsidRDefault="00297DCC" w:rsidP="00957E88">
            <w:pPr>
              <w:spacing w:after="120"/>
              <w:ind w:right="-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5B0186">
              <w:rPr>
                <w:b/>
                <w:sz w:val="24"/>
                <w:szCs w:val="24"/>
              </w:rPr>
              <w:t xml:space="preserve"> точки</w:t>
            </w:r>
            <w:r w:rsidRPr="005B0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в</w:t>
            </w:r>
            <w:r w:rsidRPr="005B0186">
              <w:rPr>
                <w:sz w:val="24"/>
                <w:szCs w:val="24"/>
              </w:rPr>
              <w:t xml:space="preserve"> предложението </w:t>
            </w:r>
            <w:r>
              <w:rPr>
                <w:sz w:val="24"/>
                <w:szCs w:val="24"/>
              </w:rPr>
              <w:t xml:space="preserve">на участника </w:t>
            </w:r>
            <w:r w:rsidRPr="005B0186">
              <w:rPr>
                <w:sz w:val="24"/>
                <w:szCs w:val="24"/>
              </w:rPr>
              <w:t>са налице следните обстоятелства:</w:t>
            </w:r>
          </w:p>
          <w:p w:rsidR="00297DCC" w:rsidRDefault="00297DCC" w:rsidP="00957E88">
            <w:pPr>
              <w:pStyle w:val="Style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2F674B">
              <w:t>П</w:t>
            </w:r>
            <w:r>
              <w:t>редставен е конкретният подход на участника за изграждане на решението и мотивите за избора на подхода му. Описани всички видове дейности, технологията и технологичната последователност на тяхното изпълнение в съответствие с изискванията на техническото задание.</w:t>
            </w:r>
          </w:p>
          <w:p w:rsidR="00297DCC" w:rsidRDefault="00297DCC" w:rsidP="00957E88">
            <w:pPr>
              <w:pStyle w:val="Style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>
              <w:t xml:space="preserve">В предложението на участника са идентифицирани допълнителни заплахи, които не са заложени </w:t>
            </w:r>
            <w:r w:rsidRPr="007C2655">
              <w:t>в техническото задание</w:t>
            </w:r>
            <w:r>
              <w:t>, срещу които се предлага да бъдат предприети мерки за избягване</w:t>
            </w:r>
            <w:r>
              <w:rPr>
                <w:lang w:val="en-US"/>
              </w:rPr>
              <w:t xml:space="preserve"> </w:t>
            </w:r>
            <w:r>
              <w:t>и подробно са описани тези мерки.</w:t>
            </w:r>
          </w:p>
          <w:p w:rsidR="00297DCC" w:rsidRDefault="00297DCC" w:rsidP="00957E88">
            <w:pPr>
              <w:pStyle w:val="Style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5B0186">
              <w:t>Предложението</w:t>
            </w:r>
            <w:r>
              <w:t xml:space="preserve"> на участника</w:t>
            </w:r>
            <w:r w:rsidRPr="005B0186">
              <w:t xml:space="preserve"> представя </w:t>
            </w:r>
            <w:r>
              <w:t>план</w:t>
            </w:r>
            <w:r w:rsidRPr="007C2655">
              <w:t xml:space="preserve"> за реализ</w:t>
            </w:r>
            <w:r>
              <w:t>ация</w:t>
            </w:r>
            <w:r w:rsidRPr="007C2655">
              <w:t xml:space="preserve"> на </w:t>
            </w:r>
            <w:r>
              <w:t>защита срещу всич</w:t>
            </w:r>
            <w:r w:rsidRPr="007C2655">
              <w:t>к</w:t>
            </w:r>
            <w:r>
              <w:t>и</w:t>
            </w:r>
            <w:r w:rsidRPr="007C2655">
              <w:t xml:space="preserve"> </w:t>
            </w:r>
            <w:r>
              <w:t xml:space="preserve">заплахи – идентифицирани </w:t>
            </w:r>
            <w:r w:rsidRPr="007C2655">
              <w:t>в техническото задание</w:t>
            </w:r>
            <w:r>
              <w:t xml:space="preserve"> и допълнително идентифицирани от участника.</w:t>
            </w:r>
          </w:p>
          <w:p w:rsidR="00297DCC" w:rsidRDefault="00297DCC" w:rsidP="00957E88">
            <w:pPr>
              <w:pStyle w:val="Style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5B0186">
              <w:t>Предложението</w:t>
            </w:r>
            <w:r>
              <w:t xml:space="preserve"> на участника включва </w:t>
            </w:r>
            <w:proofErr w:type="spellStart"/>
            <w:r>
              <w:t>чеклист</w:t>
            </w:r>
            <w:proofErr w:type="spellEnd"/>
            <w:r>
              <w:t xml:space="preserve"> </w:t>
            </w:r>
            <w:r w:rsidRPr="00A7780E">
              <w:t>за проверка на изисквания</w:t>
            </w:r>
            <w:r>
              <w:t xml:space="preserve">та за сигурност, който покрива заложените </w:t>
            </w:r>
            <w:r w:rsidRPr="007C2655">
              <w:t>в техническото задание</w:t>
            </w:r>
            <w:r>
              <w:t xml:space="preserve"> и допълнително предложените от участника.</w:t>
            </w:r>
          </w:p>
          <w:p w:rsidR="00297DCC" w:rsidRDefault="00297DCC" w:rsidP="00957E88">
            <w:pPr>
              <w:pStyle w:val="Style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5B0186">
              <w:t>Предложението</w:t>
            </w:r>
            <w:r>
              <w:t xml:space="preserve"> на участника включва подробно описана процедура за осигуряване на резервираност на портала на МВнР</w:t>
            </w:r>
            <w:r w:rsidRPr="00A7780E">
              <w:t xml:space="preserve"> в своя техническа инфраструктура</w:t>
            </w:r>
            <w:r>
              <w:t>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>
              <w:t>Съдържа описание на организацията на участника за изпълнение на дейностите и на използваните от него ресурси, съобразени с избрания от него подход за реализация.</w:t>
            </w:r>
          </w:p>
        </w:tc>
      </w:tr>
      <w:tr w:rsidR="00297DCC" w:rsidRPr="002F674B" w:rsidTr="00957E88">
        <w:trPr>
          <w:trHeight w:val="366"/>
        </w:trPr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tabs>
                <w:tab w:val="left" w:pos="0"/>
              </w:tabs>
              <w:spacing w:line="360" w:lineRule="auto"/>
              <w:jc w:val="left"/>
              <w:rPr>
                <w:rFonts w:cs="Times New Roman"/>
                <w:sz w:val="24"/>
                <w:szCs w:val="24"/>
                <w:lang w:eastAsia="bg-BG"/>
              </w:rPr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5B0186" w:rsidRDefault="00297DCC" w:rsidP="00957E88">
            <w:pPr>
              <w:spacing w:after="120"/>
              <w:ind w:right="-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B0186">
              <w:rPr>
                <w:b/>
                <w:sz w:val="24"/>
                <w:szCs w:val="24"/>
              </w:rPr>
              <w:t xml:space="preserve"> точки</w:t>
            </w:r>
            <w:r w:rsidRPr="005B0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в</w:t>
            </w:r>
            <w:r w:rsidRPr="005B0186">
              <w:rPr>
                <w:sz w:val="24"/>
                <w:szCs w:val="24"/>
              </w:rPr>
              <w:t xml:space="preserve"> предложението </w:t>
            </w:r>
            <w:r>
              <w:rPr>
                <w:sz w:val="24"/>
                <w:szCs w:val="24"/>
              </w:rPr>
              <w:t xml:space="preserve">на участника </w:t>
            </w:r>
            <w:r w:rsidRPr="005B0186">
              <w:rPr>
                <w:sz w:val="24"/>
                <w:szCs w:val="24"/>
              </w:rPr>
              <w:t>са налице следните обстоятелства:</w:t>
            </w:r>
          </w:p>
          <w:p w:rsidR="00297DCC" w:rsidRDefault="00297DCC" w:rsidP="00957E88">
            <w:pPr>
              <w:pStyle w:val="Style1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>
              <w:t xml:space="preserve">В предложението на участника са идентифицирани допълнителни заплахи, които не са заложени </w:t>
            </w:r>
            <w:r w:rsidRPr="007C2655">
              <w:t>в техническото задание</w:t>
            </w:r>
            <w:r>
              <w:t>, срещу които се предлага да бъдат предприети мерки за избягване.</w:t>
            </w:r>
          </w:p>
          <w:p w:rsidR="00297DCC" w:rsidRDefault="00297DCC" w:rsidP="00957E88">
            <w:pPr>
              <w:pStyle w:val="Style1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5B0186">
              <w:t>Предложението</w:t>
            </w:r>
            <w:r>
              <w:t xml:space="preserve"> на участника</w:t>
            </w:r>
            <w:r w:rsidRPr="005B0186">
              <w:t xml:space="preserve"> представя </w:t>
            </w:r>
            <w:r>
              <w:t>план</w:t>
            </w:r>
            <w:r w:rsidRPr="007C2655">
              <w:t xml:space="preserve"> за реализ</w:t>
            </w:r>
            <w:r>
              <w:t>ация</w:t>
            </w:r>
            <w:r w:rsidRPr="007C2655">
              <w:t xml:space="preserve"> на </w:t>
            </w:r>
            <w:r>
              <w:t>защита срещу повечето</w:t>
            </w:r>
            <w:r w:rsidRPr="007C2655">
              <w:t xml:space="preserve"> </w:t>
            </w:r>
            <w:r>
              <w:t xml:space="preserve">заплахи идентифицирани </w:t>
            </w:r>
            <w:r w:rsidRPr="007C2655">
              <w:t>в техническото задание</w:t>
            </w:r>
            <w:r>
              <w:t>.</w:t>
            </w:r>
          </w:p>
          <w:p w:rsidR="00297DCC" w:rsidRDefault="00297DCC" w:rsidP="00957E88">
            <w:pPr>
              <w:pStyle w:val="Style1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5B0186">
              <w:t>Предложението</w:t>
            </w:r>
            <w:r>
              <w:t xml:space="preserve"> на участника включва </w:t>
            </w:r>
            <w:proofErr w:type="spellStart"/>
            <w:r>
              <w:t>чеклист</w:t>
            </w:r>
            <w:proofErr w:type="spellEnd"/>
            <w:r>
              <w:t xml:space="preserve"> </w:t>
            </w:r>
            <w:r w:rsidRPr="00A7780E">
              <w:t xml:space="preserve">за </w:t>
            </w:r>
            <w:r w:rsidRPr="00A7780E">
              <w:lastRenderedPageBreak/>
              <w:t>проверка на изисквания</w:t>
            </w:r>
            <w:r>
              <w:t xml:space="preserve">та за сигурност, който покрива заложените </w:t>
            </w:r>
            <w:r w:rsidRPr="007C2655">
              <w:t>в техническото задание</w:t>
            </w:r>
            <w:r>
              <w:t>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5B0186">
              <w:t>Предложението</w:t>
            </w:r>
            <w:r>
              <w:t xml:space="preserve"> на участника включва процедура за осигуряване на резервираност на портала на МВнР</w:t>
            </w:r>
            <w:r w:rsidRPr="00A7780E">
              <w:t xml:space="preserve"> в своя техническа инфраструктура</w:t>
            </w:r>
            <w:r>
              <w:t>.</w:t>
            </w:r>
          </w:p>
        </w:tc>
      </w:tr>
      <w:tr w:rsidR="00297DCC" w:rsidRPr="002F674B" w:rsidTr="00957E88">
        <w:trPr>
          <w:trHeight w:val="366"/>
        </w:trPr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spacing w:line="360" w:lineRule="auto"/>
              <w:ind w:right="-2"/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2F674B" w:rsidRDefault="00297DCC" w:rsidP="00957E88">
            <w:pPr>
              <w:tabs>
                <w:tab w:val="left" w:pos="0"/>
              </w:tabs>
              <w:spacing w:line="360" w:lineRule="auto"/>
              <w:jc w:val="left"/>
              <w:rPr>
                <w:rFonts w:cs="Times New Roman"/>
                <w:sz w:val="24"/>
                <w:szCs w:val="24"/>
                <w:lang w:eastAsia="bg-BG"/>
              </w:rPr>
            </w:pP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7DCC" w:rsidRPr="005B0186" w:rsidRDefault="00297DCC" w:rsidP="00957E88">
            <w:pPr>
              <w:spacing w:after="120"/>
              <w:ind w:right="-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5B0186">
              <w:rPr>
                <w:b/>
                <w:sz w:val="24"/>
                <w:szCs w:val="24"/>
              </w:rPr>
              <w:t xml:space="preserve"> точки</w:t>
            </w:r>
            <w:r w:rsidRPr="005B0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в</w:t>
            </w:r>
            <w:r w:rsidRPr="005B0186">
              <w:rPr>
                <w:sz w:val="24"/>
                <w:szCs w:val="24"/>
              </w:rPr>
              <w:t xml:space="preserve"> предложението </w:t>
            </w:r>
            <w:r>
              <w:rPr>
                <w:sz w:val="24"/>
                <w:szCs w:val="24"/>
              </w:rPr>
              <w:t xml:space="preserve">на участника </w:t>
            </w:r>
            <w:r w:rsidRPr="005B0186">
              <w:rPr>
                <w:sz w:val="24"/>
                <w:szCs w:val="24"/>
              </w:rPr>
              <w:t>са налице следните обстоятелства:</w:t>
            </w:r>
          </w:p>
          <w:p w:rsidR="00297DCC" w:rsidRDefault="00297DCC" w:rsidP="00957E88">
            <w:pPr>
              <w:pStyle w:val="Style1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5B0186">
              <w:t>Предложението</w:t>
            </w:r>
            <w:r>
              <w:t xml:space="preserve"> на участника</w:t>
            </w:r>
            <w:r w:rsidRPr="005B0186">
              <w:t xml:space="preserve"> представя </w:t>
            </w:r>
            <w:r>
              <w:t>план</w:t>
            </w:r>
            <w:r w:rsidRPr="007C2655">
              <w:t xml:space="preserve"> за реализ</w:t>
            </w:r>
            <w:r>
              <w:t>ация</w:t>
            </w:r>
            <w:r w:rsidRPr="007C2655">
              <w:t xml:space="preserve"> на </w:t>
            </w:r>
            <w:r>
              <w:t xml:space="preserve">защита срещу някои заплахи идентифицирани </w:t>
            </w:r>
            <w:r w:rsidRPr="007C2655">
              <w:t>в техническото задание</w:t>
            </w:r>
            <w:r>
              <w:t>.</w:t>
            </w:r>
          </w:p>
          <w:p w:rsidR="00297DCC" w:rsidRDefault="00297DCC" w:rsidP="00957E88">
            <w:pPr>
              <w:pStyle w:val="Style1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5B0186">
              <w:t>Предложението</w:t>
            </w:r>
            <w:r>
              <w:t xml:space="preserve"> на участника включва </w:t>
            </w:r>
            <w:proofErr w:type="spellStart"/>
            <w:r>
              <w:t>чеклист</w:t>
            </w:r>
            <w:proofErr w:type="spellEnd"/>
            <w:r>
              <w:t xml:space="preserve"> </w:t>
            </w:r>
            <w:r w:rsidRPr="00A7780E">
              <w:t>за проверка на изисквания</w:t>
            </w:r>
            <w:r>
              <w:t xml:space="preserve">та за сигурност, който покрива някои от заложените </w:t>
            </w:r>
            <w:r w:rsidRPr="007C2655">
              <w:t>в техническото задание</w:t>
            </w:r>
            <w:r>
              <w:t>.</w:t>
            </w:r>
          </w:p>
          <w:p w:rsidR="00297DCC" w:rsidRPr="002F674B" w:rsidRDefault="00297DCC" w:rsidP="00957E88">
            <w:pPr>
              <w:pStyle w:val="Style1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ind w:right="-28"/>
            </w:pPr>
            <w:r w:rsidRPr="005B0186">
              <w:t>Предложението</w:t>
            </w:r>
            <w:r>
              <w:t xml:space="preserve"> на участника включва процедура за осигуряване на резервираност на портала на МВнР</w:t>
            </w:r>
            <w:r w:rsidRPr="00A7780E">
              <w:t xml:space="preserve"> в своя техническа инфраструктура</w:t>
            </w:r>
            <w:r>
              <w:t>.</w:t>
            </w:r>
          </w:p>
        </w:tc>
      </w:tr>
    </w:tbl>
    <w:p w:rsidR="00297DCC" w:rsidRPr="002F674B" w:rsidRDefault="00297DCC" w:rsidP="00297DCC">
      <w:pPr>
        <w:tabs>
          <w:tab w:val="left" w:pos="0"/>
          <w:tab w:val="left" w:pos="725"/>
        </w:tabs>
        <w:spacing w:line="360" w:lineRule="auto"/>
        <w:jc w:val="left"/>
        <w:rPr>
          <w:rFonts w:eastAsia="Times New Roman" w:cs="Times New Roman"/>
          <w:bCs/>
          <w:sz w:val="24"/>
          <w:szCs w:val="24"/>
          <w:lang w:eastAsia="bg-BG"/>
        </w:rPr>
      </w:pPr>
    </w:p>
    <w:p w:rsidR="00297DCC" w:rsidRPr="002F674B" w:rsidRDefault="00297DCC" w:rsidP="00297DCC">
      <w:pPr>
        <w:spacing w:line="360" w:lineRule="auto"/>
        <w:ind w:firstLine="426"/>
        <w:rPr>
          <w:rFonts w:cs="Times New Roman"/>
          <w:sz w:val="24"/>
          <w:szCs w:val="24"/>
          <w:lang w:eastAsia="bg-BG"/>
        </w:rPr>
      </w:pPr>
      <w:r w:rsidRPr="005C7EBF">
        <w:rPr>
          <w:rFonts w:cs="Times New Roman"/>
          <w:i/>
          <w:sz w:val="24"/>
          <w:szCs w:val="24"/>
          <w:lang w:eastAsia="bg-BG"/>
        </w:rPr>
        <w:t>Забележка:</w:t>
      </w:r>
      <w:r w:rsidRPr="002F674B">
        <w:rPr>
          <w:rFonts w:cs="Times New Roman"/>
          <w:sz w:val="24"/>
          <w:szCs w:val="24"/>
          <w:lang w:eastAsia="bg-BG"/>
        </w:rPr>
        <w:t xml:space="preserve"> За целите на настоящата методика, използваното в този раздел определение следва да се тълкува:</w:t>
      </w:r>
    </w:p>
    <w:p w:rsidR="00297DCC" w:rsidRPr="002F674B" w:rsidRDefault="00297DCC" w:rsidP="00297DCC">
      <w:pPr>
        <w:spacing w:line="360" w:lineRule="auto"/>
        <w:ind w:firstLine="426"/>
        <w:rPr>
          <w:rFonts w:cs="Times New Roman"/>
          <w:sz w:val="24"/>
          <w:szCs w:val="24"/>
          <w:lang w:eastAsia="bg-BG"/>
        </w:rPr>
      </w:pPr>
      <w:r w:rsidRPr="002F674B">
        <w:rPr>
          <w:rFonts w:cs="Times New Roman"/>
          <w:sz w:val="24"/>
          <w:szCs w:val="24"/>
          <w:lang w:eastAsia="bg-BG"/>
        </w:rPr>
        <w:t xml:space="preserve">При изчисляването на всички стойности по горепосочените формули, резултатите се закръгляват до </w:t>
      </w:r>
      <w:r>
        <w:rPr>
          <w:rFonts w:cs="Times New Roman"/>
          <w:sz w:val="24"/>
          <w:szCs w:val="24"/>
          <w:lang w:eastAsia="bg-BG"/>
        </w:rPr>
        <w:t>втория</w:t>
      </w:r>
      <w:r w:rsidRPr="002F674B">
        <w:rPr>
          <w:rFonts w:cs="Times New Roman"/>
          <w:sz w:val="24"/>
          <w:szCs w:val="24"/>
          <w:lang w:eastAsia="bg-BG"/>
        </w:rPr>
        <w:t xml:space="preserve"> знак след десетичната запетая.</w:t>
      </w:r>
    </w:p>
    <w:p w:rsidR="00297DCC" w:rsidRPr="002F674B" w:rsidRDefault="00297DCC" w:rsidP="00297DCC">
      <w:pPr>
        <w:spacing w:line="360" w:lineRule="auto"/>
        <w:ind w:firstLine="426"/>
        <w:rPr>
          <w:rFonts w:cs="Times New Roman"/>
          <w:sz w:val="24"/>
          <w:szCs w:val="24"/>
          <w:lang w:eastAsia="bg-BG"/>
        </w:rPr>
      </w:pPr>
      <w:r w:rsidRPr="002F674B">
        <w:rPr>
          <w:rFonts w:cs="Times New Roman"/>
          <w:sz w:val="24"/>
          <w:szCs w:val="24"/>
          <w:lang w:eastAsia="bg-BG"/>
        </w:rPr>
        <w:t>Към оценяване на ценовото предложение се допускат само участниците, чиито оферти отговарят по всички други показатели, различни от цената.</w:t>
      </w:r>
    </w:p>
    <w:p w:rsidR="00297DCC" w:rsidRPr="002F674B" w:rsidRDefault="00297DCC" w:rsidP="00297DCC">
      <w:pPr>
        <w:spacing w:line="360" w:lineRule="auto"/>
        <w:rPr>
          <w:rFonts w:eastAsia="Calibri" w:cs="Times New Roman"/>
          <w:b/>
          <w:sz w:val="24"/>
          <w:szCs w:val="24"/>
        </w:rPr>
      </w:pPr>
    </w:p>
    <w:p w:rsidR="00297DCC" w:rsidRPr="002F674B" w:rsidRDefault="00297DCC" w:rsidP="00297DCC">
      <w:pPr>
        <w:pStyle w:val="Heading2"/>
        <w:numPr>
          <w:ilvl w:val="0"/>
          <w:numId w:val="1"/>
        </w:numPr>
        <w:spacing w:before="0" w:line="360" w:lineRule="auto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 xml:space="preserve">Комплексна оценка на участника КО </w:t>
      </w:r>
    </w:p>
    <w:p w:rsidR="00297DCC" w:rsidRPr="002F674B" w:rsidRDefault="00297DCC" w:rsidP="00297DCC">
      <w:pPr>
        <w:spacing w:line="360" w:lineRule="auto"/>
        <w:ind w:firstLine="426"/>
        <w:rPr>
          <w:rFonts w:eastAsia="Times New Roman" w:cs="Times New Roman"/>
          <w:b/>
          <w:bCs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Комплексната оценка на участника се изчислява по следната формула:</w:t>
      </w:r>
      <w:r w:rsidRPr="002F674B">
        <w:rPr>
          <w:rFonts w:eastAsia="Times New Roman" w:cs="Times New Roman"/>
          <w:sz w:val="24"/>
          <w:szCs w:val="24"/>
          <w:lang w:eastAsia="bg-BG"/>
        </w:rPr>
        <w:br/>
      </w:r>
      <w:r w:rsidRPr="002F674B">
        <w:rPr>
          <w:rFonts w:eastAsia="Times New Roman" w:cs="Times New Roman"/>
          <w:b/>
          <w:sz w:val="24"/>
          <w:szCs w:val="24"/>
          <w:lang w:eastAsia="bg-BG"/>
        </w:rPr>
        <w:t xml:space="preserve">КО = 0,70 </w:t>
      </w:r>
      <w:r w:rsidRPr="002F674B">
        <w:rPr>
          <w:rFonts w:cs="Times New Roman"/>
        </w:rPr>
        <w:t>×</w:t>
      </w:r>
      <w:r w:rsidRPr="002F674B">
        <w:rPr>
          <w:rFonts w:eastAsia="Times New Roman" w:cs="Times New Roman"/>
          <w:b/>
          <w:sz w:val="24"/>
          <w:szCs w:val="24"/>
          <w:lang w:eastAsia="bg-BG"/>
        </w:rPr>
        <w:t xml:space="preserve"> TП + 0,30 </w:t>
      </w:r>
      <w:r w:rsidRPr="002F674B">
        <w:rPr>
          <w:rFonts w:cs="Times New Roman"/>
        </w:rPr>
        <w:t>×</w:t>
      </w:r>
      <w:r w:rsidRPr="002F674B">
        <w:rPr>
          <w:rFonts w:eastAsia="Times New Roman" w:cs="Times New Roman"/>
          <w:b/>
          <w:sz w:val="24"/>
          <w:szCs w:val="24"/>
          <w:lang w:eastAsia="bg-BG"/>
        </w:rPr>
        <w:t xml:space="preserve"> ЦП</w:t>
      </w:r>
    </w:p>
    <w:p w:rsidR="00297DCC" w:rsidRPr="002F674B" w:rsidRDefault="00297DCC" w:rsidP="00297DCC">
      <w:pPr>
        <w:spacing w:line="360" w:lineRule="auto"/>
        <w:ind w:firstLine="426"/>
        <w:rPr>
          <w:rFonts w:eastAsia="Times New Roman" w:cs="Times New Roman"/>
          <w:bCs/>
          <w:sz w:val="24"/>
          <w:szCs w:val="24"/>
          <w:lang w:eastAsia="bg-BG"/>
        </w:rPr>
      </w:pPr>
      <w:r w:rsidRPr="002F674B">
        <w:rPr>
          <w:rFonts w:eastAsia="Times New Roman" w:cs="Times New Roman"/>
          <w:bCs/>
          <w:sz w:val="24"/>
          <w:szCs w:val="24"/>
          <w:lang w:eastAsia="bg-BG"/>
        </w:rPr>
        <w:t>Максималната стойност на комплексната оценка КО е 100.</w:t>
      </w:r>
    </w:p>
    <w:p w:rsidR="00297DCC" w:rsidRPr="002F674B" w:rsidRDefault="00297DCC" w:rsidP="00297DCC">
      <w:pPr>
        <w:spacing w:line="360" w:lineRule="auto"/>
        <w:ind w:firstLine="426"/>
        <w:rPr>
          <w:rFonts w:eastAsia="Times New Roman" w:cs="Times New Roman"/>
          <w:bCs/>
          <w:sz w:val="24"/>
          <w:szCs w:val="24"/>
          <w:lang w:eastAsia="bg-BG"/>
        </w:rPr>
      </w:pPr>
      <w:r w:rsidRPr="002F674B">
        <w:rPr>
          <w:rFonts w:eastAsia="Times New Roman" w:cs="Times New Roman"/>
          <w:bCs/>
          <w:sz w:val="24"/>
          <w:szCs w:val="24"/>
          <w:lang w:eastAsia="bg-BG"/>
        </w:rPr>
        <w:t>На първо място се класира участникът с най-голяма обща оценка КО.</w:t>
      </w:r>
    </w:p>
    <w:p w:rsidR="00297DCC" w:rsidRPr="002F674B" w:rsidRDefault="00297DCC" w:rsidP="00297DCC">
      <w:pPr>
        <w:spacing w:line="360" w:lineRule="auto"/>
        <w:ind w:firstLine="426"/>
        <w:rPr>
          <w:rFonts w:eastAsia="Times New Roman" w:cs="Times New Roman"/>
          <w:bCs/>
          <w:sz w:val="24"/>
          <w:szCs w:val="24"/>
          <w:lang w:eastAsia="bg-BG"/>
        </w:rPr>
      </w:pPr>
      <w:r w:rsidRPr="002F674B">
        <w:rPr>
          <w:rFonts w:eastAsia="Times New Roman" w:cs="Times New Roman"/>
          <w:bCs/>
          <w:sz w:val="24"/>
          <w:szCs w:val="24"/>
          <w:lang w:eastAsia="bg-BG"/>
        </w:rPr>
        <w:t>Останалите оферти заемат места в класирането по низходящ ред на стойностите на общите оценки.</w:t>
      </w:r>
    </w:p>
    <w:p w:rsidR="00297DCC" w:rsidRPr="002F674B" w:rsidRDefault="00297DCC" w:rsidP="00297DCC">
      <w:pPr>
        <w:spacing w:line="360" w:lineRule="auto"/>
        <w:ind w:firstLine="426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Times New Roman" w:cs="Times New Roman"/>
          <w:sz w:val="24"/>
          <w:szCs w:val="24"/>
          <w:lang w:eastAsia="bg-BG"/>
        </w:rPr>
        <w:t>Полученият резултат се закръгля с точност до втория знак след десетичната запетая. Ако при получения резултат от формулата преди закръглянето третата цифра след десетичната запетая е 5, резултатът се закръгля към по-голямото число</w:t>
      </w:r>
      <w:r>
        <w:rPr>
          <w:rFonts w:eastAsia="Times New Roman" w:cs="Times New Roman"/>
          <w:sz w:val="24"/>
          <w:szCs w:val="24"/>
          <w:lang w:eastAsia="bg-BG"/>
        </w:rPr>
        <w:t>.</w:t>
      </w:r>
    </w:p>
    <w:p w:rsidR="00297DCC" w:rsidRPr="002F674B" w:rsidRDefault="00297DCC" w:rsidP="00297DCC">
      <w:pPr>
        <w:spacing w:line="360" w:lineRule="auto"/>
        <w:ind w:firstLine="426"/>
        <w:rPr>
          <w:rFonts w:eastAsia="Times New Roman" w:cs="Times New Roman"/>
          <w:sz w:val="24"/>
          <w:szCs w:val="24"/>
          <w:lang w:eastAsia="bg-BG"/>
        </w:rPr>
      </w:pPr>
      <w:r w:rsidRPr="002F674B">
        <w:rPr>
          <w:rFonts w:eastAsia="Calibri" w:cs="Times New Roman"/>
          <w:bCs/>
          <w:color w:val="000000"/>
          <w:sz w:val="24"/>
          <w:szCs w:val="24"/>
          <w:lang w:eastAsia="bg-BG"/>
        </w:rPr>
        <w:lastRenderedPageBreak/>
        <w:t>При прилагането на методиката за оценка на офертите, всички показатели ще се изчисляват с точност до втория знак след десетичната запетая.</w:t>
      </w:r>
    </w:p>
    <w:p w:rsidR="00297DCC" w:rsidRPr="002F674B" w:rsidRDefault="00297DCC" w:rsidP="00297DCC">
      <w:pPr>
        <w:spacing w:line="360" w:lineRule="auto"/>
        <w:ind w:firstLine="426"/>
        <w:rPr>
          <w:rFonts w:eastAsia="Calibri" w:cs="Times New Roman"/>
          <w:bCs/>
          <w:color w:val="000000"/>
          <w:sz w:val="24"/>
          <w:szCs w:val="24"/>
          <w:lang w:eastAsia="bg-BG"/>
        </w:rPr>
      </w:pPr>
      <w:r w:rsidRPr="002F674B">
        <w:rPr>
          <w:rFonts w:eastAsia="Calibri" w:cs="Times New Roman"/>
          <w:bCs/>
          <w:color w:val="000000"/>
          <w:sz w:val="24"/>
          <w:szCs w:val="24"/>
          <w:lang w:eastAsia="bg-BG"/>
        </w:rPr>
        <w:t>Крайното класиране на участниците се извършва по броя на точките, получени за всеки участник. На първо място се класира участникът, получил най-висока комплексна оценка.</w:t>
      </w:r>
    </w:p>
    <w:p w:rsidR="00297DCC" w:rsidRPr="002F674B" w:rsidRDefault="00297DCC" w:rsidP="00297DCC">
      <w:pPr>
        <w:spacing w:line="360" w:lineRule="auto"/>
        <w:ind w:firstLine="426"/>
        <w:rPr>
          <w:rFonts w:eastAsia="Calibri" w:cs="Times New Roman"/>
          <w:bCs/>
          <w:color w:val="000000"/>
          <w:sz w:val="24"/>
          <w:szCs w:val="24"/>
          <w:lang w:eastAsia="bg-BG"/>
        </w:rPr>
      </w:pPr>
      <w:r w:rsidRPr="002F674B">
        <w:rPr>
          <w:rFonts w:eastAsia="Calibri" w:cs="Times New Roman"/>
          <w:bCs/>
          <w:color w:val="000000"/>
          <w:sz w:val="24"/>
          <w:szCs w:val="24"/>
          <w:lang w:eastAsia="bg-BG"/>
        </w:rPr>
        <w:t>В случай че комплексните оценки на две или повече оферти са равни, за икономически най-изгодна се приема тази оферта, в която се предлага най-ниска цена. При условие че и цените са еднакви се сравняват оценките по показателя с най-висока относителна тежест и се избира офертата с по-благоприятна стойност по този показател. В случай, че офертата не може да се определи по този ред, Комисията ще приложи правилото на чл. 58, ал. 2 от ППЗОП. Съгласно чл. 58, ал. 3 от ППЗОП, Комисията провежда публично жребий за определяне на изпълнител между класираните на първо място оферти.</w:t>
      </w:r>
    </w:p>
    <w:p w:rsidR="00297DCC" w:rsidRPr="002F674B" w:rsidRDefault="00297DCC" w:rsidP="00297DCC">
      <w:pPr>
        <w:spacing w:line="360" w:lineRule="auto"/>
        <w:rPr>
          <w:rFonts w:eastAsia="Calibri" w:cs="Times New Roman"/>
          <w:sz w:val="24"/>
          <w:szCs w:val="24"/>
        </w:rPr>
      </w:pPr>
    </w:p>
    <w:p w:rsidR="00297DCC" w:rsidRPr="000B1B9F" w:rsidRDefault="00297DCC" w:rsidP="00297DCC">
      <w:pPr>
        <w:tabs>
          <w:tab w:val="left" w:pos="360"/>
        </w:tabs>
        <w:spacing w:line="360" w:lineRule="auto"/>
        <w:rPr>
          <w:rFonts w:cs="Times New Roman"/>
          <w:i/>
          <w:sz w:val="24"/>
          <w:szCs w:val="24"/>
          <w:lang w:val="en-US" w:eastAsia="bg-BG"/>
        </w:rPr>
      </w:pPr>
      <w:r w:rsidRPr="000B1B9F">
        <w:rPr>
          <w:rFonts w:cs="Times New Roman"/>
          <w:i/>
          <w:sz w:val="24"/>
          <w:szCs w:val="24"/>
          <w:lang w:eastAsia="bg-BG"/>
        </w:rPr>
        <w:t>Забележка:</w:t>
      </w:r>
    </w:p>
    <w:p w:rsidR="00297DCC" w:rsidRPr="000B1B9F" w:rsidRDefault="00297DCC" w:rsidP="00297DCC">
      <w:pPr>
        <w:tabs>
          <w:tab w:val="left" w:pos="360"/>
        </w:tabs>
        <w:spacing w:line="360" w:lineRule="auto"/>
        <w:rPr>
          <w:rFonts w:cs="Times New Roman"/>
          <w:i/>
          <w:sz w:val="24"/>
          <w:szCs w:val="24"/>
          <w:lang w:eastAsia="bg-BG"/>
        </w:rPr>
      </w:pPr>
      <w:r w:rsidRPr="000B1B9F">
        <w:rPr>
          <w:rFonts w:cs="Times New Roman"/>
          <w:i/>
          <w:sz w:val="24"/>
          <w:szCs w:val="24"/>
          <w:lang w:eastAsia="bg-BG"/>
        </w:rPr>
        <w:t>*Знакът „</w:t>
      </w:r>
      <w:r w:rsidRPr="002F674B">
        <w:rPr>
          <w:rFonts w:cs="Times New Roman"/>
        </w:rPr>
        <w:t>×</w:t>
      </w:r>
      <w:r w:rsidRPr="000B1B9F">
        <w:rPr>
          <w:rFonts w:cs="Times New Roman"/>
          <w:i/>
          <w:sz w:val="24"/>
          <w:szCs w:val="24"/>
          <w:lang w:eastAsia="bg-BG"/>
        </w:rPr>
        <w:t>” във формулите е знак за аритметично умножение.</w:t>
      </w:r>
    </w:p>
    <w:p w:rsidR="00297DCC" w:rsidRDefault="00297DCC" w:rsidP="00297DCC">
      <w:pPr>
        <w:tabs>
          <w:tab w:val="left" w:pos="360"/>
        </w:tabs>
        <w:spacing w:line="360" w:lineRule="auto"/>
        <w:rPr>
          <w:rFonts w:cs="Times New Roman"/>
          <w:i/>
          <w:sz w:val="24"/>
          <w:szCs w:val="24"/>
          <w:lang w:val="en-US" w:eastAsia="bg-BG"/>
        </w:rPr>
      </w:pPr>
      <w:r w:rsidRPr="000B1B9F">
        <w:rPr>
          <w:rFonts w:cs="Times New Roman"/>
          <w:i/>
          <w:sz w:val="24"/>
          <w:szCs w:val="24"/>
          <w:lang w:eastAsia="bg-BG"/>
        </w:rPr>
        <w:t>*Знакът „</w:t>
      </w:r>
      <w:r w:rsidRPr="000B1B9F">
        <w:rPr>
          <w:i/>
        </w:rPr>
        <w:t>÷</w:t>
      </w:r>
      <w:r w:rsidRPr="000B1B9F">
        <w:rPr>
          <w:rFonts w:cs="Times New Roman"/>
          <w:i/>
          <w:sz w:val="24"/>
          <w:szCs w:val="24"/>
          <w:lang w:eastAsia="bg-BG"/>
        </w:rPr>
        <w:t>”</w:t>
      </w:r>
      <w:r w:rsidRPr="000B1B9F">
        <w:rPr>
          <w:rFonts w:cs="Times New Roman"/>
          <w:i/>
          <w:sz w:val="24"/>
          <w:szCs w:val="24"/>
          <w:lang w:val="en-US" w:eastAsia="bg-BG"/>
        </w:rPr>
        <w:t xml:space="preserve"> </w:t>
      </w:r>
      <w:r w:rsidRPr="000B1B9F">
        <w:rPr>
          <w:rFonts w:cs="Times New Roman"/>
          <w:i/>
          <w:sz w:val="24"/>
          <w:szCs w:val="24"/>
          <w:lang w:eastAsia="bg-BG"/>
        </w:rPr>
        <w:t>във формулите е знак за аритметично делене.</w:t>
      </w:r>
    </w:p>
    <w:p w:rsidR="00297DCC" w:rsidRPr="000B1B9F" w:rsidRDefault="00297DCC" w:rsidP="00297DCC">
      <w:pPr>
        <w:tabs>
          <w:tab w:val="left" w:pos="360"/>
        </w:tabs>
        <w:spacing w:line="360" w:lineRule="auto"/>
        <w:rPr>
          <w:rFonts w:cs="Times New Roman"/>
          <w:i/>
          <w:sz w:val="24"/>
          <w:szCs w:val="24"/>
          <w:lang w:val="en-US" w:eastAsia="bg-BG"/>
        </w:rPr>
      </w:pPr>
      <w:r w:rsidRPr="000B1B9F">
        <w:rPr>
          <w:rFonts w:cs="Times New Roman"/>
          <w:i/>
          <w:sz w:val="24"/>
          <w:szCs w:val="24"/>
          <w:lang w:eastAsia="bg-BG"/>
        </w:rPr>
        <w:t>*Знакът „</w:t>
      </w:r>
      <w:r w:rsidRPr="002F674B">
        <w:rPr>
          <w:rFonts w:cs="Times New Roman"/>
          <w:color w:val="000000"/>
          <w:spacing w:val="9"/>
          <w:sz w:val="24"/>
          <w:szCs w:val="24"/>
        </w:rPr>
        <w:t>Σ</w:t>
      </w:r>
      <w:r w:rsidRPr="000B1B9F">
        <w:rPr>
          <w:rFonts w:cs="Times New Roman"/>
          <w:i/>
          <w:sz w:val="24"/>
          <w:szCs w:val="24"/>
          <w:lang w:eastAsia="bg-BG"/>
        </w:rPr>
        <w:t>”</w:t>
      </w:r>
      <w:r>
        <w:rPr>
          <w:rFonts w:cs="Times New Roman"/>
          <w:i/>
          <w:sz w:val="24"/>
          <w:szCs w:val="24"/>
          <w:lang w:val="en-US" w:eastAsia="bg-BG"/>
        </w:rPr>
        <w:t xml:space="preserve"> </w:t>
      </w:r>
      <w:r>
        <w:rPr>
          <w:rFonts w:cs="Times New Roman"/>
          <w:i/>
          <w:sz w:val="24"/>
          <w:szCs w:val="24"/>
          <w:lang w:eastAsia="bg-BG"/>
        </w:rPr>
        <w:t>в</w:t>
      </w:r>
      <w:r w:rsidRPr="000B1B9F">
        <w:rPr>
          <w:rFonts w:cs="Times New Roman"/>
          <w:i/>
          <w:sz w:val="24"/>
          <w:szCs w:val="24"/>
          <w:lang w:eastAsia="bg-BG"/>
        </w:rPr>
        <w:t xml:space="preserve">ъв формулите е знак за </w:t>
      </w:r>
      <w:r>
        <w:rPr>
          <w:rFonts w:cs="Times New Roman"/>
          <w:i/>
          <w:sz w:val="24"/>
          <w:szCs w:val="24"/>
          <w:lang w:eastAsia="bg-BG"/>
        </w:rPr>
        <w:t>сума (аритметично събиране на стойностите)</w:t>
      </w:r>
      <w:r w:rsidRPr="000B1B9F">
        <w:rPr>
          <w:rFonts w:cs="Times New Roman"/>
          <w:i/>
          <w:sz w:val="24"/>
          <w:szCs w:val="24"/>
          <w:lang w:eastAsia="bg-BG"/>
        </w:rPr>
        <w:t>.</w:t>
      </w:r>
    </w:p>
    <w:p w:rsidR="00B651D5" w:rsidRDefault="00B651D5"/>
    <w:sectPr w:rsidR="00B651D5" w:rsidSect="00331AC1">
      <w:footerReference w:type="default" r:id="rId7"/>
      <w:pgSz w:w="12240" w:h="15840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FB0" w:rsidRDefault="00287FB0" w:rsidP="00710487">
      <w:r>
        <w:separator/>
      </w:r>
    </w:p>
  </w:endnote>
  <w:endnote w:type="continuationSeparator" w:id="0">
    <w:p w:rsidR="00287FB0" w:rsidRDefault="00287FB0" w:rsidP="00710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17" w:rsidRDefault="00456923">
    <w:pPr>
      <w:pStyle w:val="Footer"/>
      <w:jc w:val="right"/>
    </w:pPr>
    <w:r w:rsidRPr="00456923">
      <w:rPr>
        <w:color w:val="4F81BD" w:themeColor="accent1"/>
        <w:sz w:val="20"/>
        <w:szCs w:val="20"/>
      </w:rPr>
      <w:fldChar w:fldCharType="begin"/>
    </w:r>
    <w:r w:rsidR="00297DCC">
      <w:instrText>PAGE \* ARABIC</w:instrText>
    </w:r>
    <w:r>
      <w:fldChar w:fldCharType="separate"/>
    </w:r>
    <w:r w:rsidR="00F4147A">
      <w:rPr>
        <w:noProof/>
      </w:rPr>
      <w:t>1</w:t>
    </w:r>
    <w:r>
      <w:fldChar w:fldCharType="end"/>
    </w:r>
  </w:p>
  <w:p w:rsidR="008E6517" w:rsidRDefault="00287F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FB0" w:rsidRDefault="00287FB0" w:rsidP="00710487">
      <w:r>
        <w:separator/>
      </w:r>
    </w:p>
  </w:footnote>
  <w:footnote w:type="continuationSeparator" w:id="0">
    <w:p w:rsidR="00287FB0" w:rsidRDefault="00287FB0" w:rsidP="00710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641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54548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62EAB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74BA2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2002F"/>
    <w:multiLevelType w:val="multilevel"/>
    <w:tmpl w:val="62FA7AB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10858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034B2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6519E"/>
    <w:multiLevelType w:val="multilevel"/>
    <w:tmpl w:val="C85E4BCE"/>
    <w:lvl w:ilvl="0">
      <w:start w:val="1"/>
      <w:numFmt w:val="bullet"/>
      <w:lvlText w:val=""/>
      <w:lvlJc w:val="left"/>
      <w:pPr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8">
    <w:nsid w:val="6006153F"/>
    <w:multiLevelType w:val="multilevel"/>
    <w:tmpl w:val="68584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06515C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81773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03C5A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DCC"/>
    <w:rsid w:val="00287FB0"/>
    <w:rsid w:val="00297DCC"/>
    <w:rsid w:val="002D3833"/>
    <w:rsid w:val="00456923"/>
    <w:rsid w:val="00710487"/>
    <w:rsid w:val="007B427F"/>
    <w:rsid w:val="00B651D5"/>
    <w:rsid w:val="00F4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CC"/>
    <w:pPr>
      <w:spacing w:after="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Heading2"/>
    <w:next w:val="Normal"/>
    <w:link w:val="Heading1Char"/>
    <w:autoRedefine/>
    <w:qFormat/>
    <w:rsid w:val="00297DCC"/>
    <w:pPr>
      <w:keepNext w:val="0"/>
      <w:keepLines w:val="0"/>
      <w:spacing w:before="0" w:after="120" w:line="276" w:lineRule="auto"/>
      <w:jc w:val="center"/>
      <w:outlineLvl w:val="0"/>
    </w:pPr>
    <w:rPr>
      <w:rFonts w:eastAsia="MS ??" w:cs="Times New Roman"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DCC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297DCC"/>
    <w:rPr>
      <w:rFonts w:ascii="Times New Roman" w:eastAsia="MS ??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97DCC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97DCC"/>
    <w:rPr>
      <w:rFonts w:ascii="Times New Roman" w:hAnsi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297DCC"/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97DC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7DCC"/>
    <w:pPr>
      <w:tabs>
        <w:tab w:val="center" w:pos="4703"/>
        <w:tab w:val="right" w:pos="9406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297DCC"/>
    <w:rPr>
      <w:rFonts w:ascii="Times New Roman" w:hAnsi="Times New Roman"/>
    </w:rPr>
  </w:style>
  <w:style w:type="paragraph" w:customStyle="1" w:styleId="Default">
    <w:name w:val="Default"/>
    <w:qFormat/>
    <w:rsid w:val="00297DC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1">
    <w:name w:val="Style1"/>
    <w:basedOn w:val="Normal"/>
    <w:uiPriority w:val="99"/>
    <w:qFormat/>
    <w:rsid w:val="00297DCC"/>
    <w:pPr>
      <w:widowControl w:val="0"/>
      <w:spacing w:line="405" w:lineRule="exact"/>
      <w:ind w:firstLine="705"/>
    </w:pPr>
    <w:rPr>
      <w:rFonts w:eastAsia="Times New Roman" w:cs="Times New Roman"/>
      <w:sz w:val="24"/>
      <w:szCs w:val="24"/>
      <w:lang w:eastAsia="bg-BG"/>
    </w:rPr>
  </w:style>
  <w:style w:type="table" w:customStyle="1" w:styleId="TableGrid6">
    <w:name w:val="Table Grid6"/>
    <w:basedOn w:val="TableNormal"/>
    <w:uiPriority w:val="59"/>
    <w:rsid w:val="00297DC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2304</Words>
  <Characters>13133</Characters>
  <Application>Microsoft Office Word</Application>
  <DocSecurity>0</DocSecurity>
  <Lines>109</Lines>
  <Paragraphs>30</Paragraphs>
  <ScaleCrop>false</ScaleCrop>
  <Company>IT</Company>
  <LinksUpToDate>false</LinksUpToDate>
  <CharactersWithSpaces>15407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4</cp:revision>
  <dcterms:created xsi:type="dcterms:W3CDTF">2018-01-22T11:57:00Z</dcterms:created>
  <dcterms:modified xsi:type="dcterms:W3CDTF">2018-01-23T09:29:00Z</dcterms:modified>
</cp:coreProperties>
</file>